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i/>
                <w:iCs/>
                <w:sz w:val="14"/>
                <w:szCs w:val="14"/>
              </w:rPr>
              <w:t>“Lavori di Sistemazione in tratti saltuari della sede stradale sulle SS.PP. dei Gruppi di strade nn. 8-29-30-35 – (Annualità 2021)”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b/>
                <w:sz w:val="14"/>
                <w:szCs w:val="14"/>
              </w:rPr>
              <w:t xml:space="preserve">Cod. GARA </w:t>
            </w:r>
            <w:r>
              <w:rPr>
                <w:rFonts w:eastAsia="Garamond" w:cs="Garamond" w:ascii="Arial" w:hAnsi="Arial"/>
                <w:b/>
                <w:sz w:val="14"/>
                <w:szCs w:val="14"/>
                <w:lang w:val="it-IT" w:eastAsia="en-US" w:bidi="ar-SA"/>
              </w:rPr>
              <w:t>049</w:t>
            </w:r>
            <w:r>
              <w:rPr>
                <w:rFonts w:cs="Arial" w:ascii="Arial" w:hAnsi="Arial"/>
                <w:b/>
                <w:sz w:val="14"/>
                <w:szCs w:val="14"/>
              </w:rPr>
              <w:t>VB21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4"/>
                <w:szCs w:val="14"/>
                <w:lang w:val="it-IT" w:bidi="it-IT"/>
              </w:rPr>
              <w:t>[</w:t>
            </w:r>
            <w:r>
              <w:rPr>
                <w:rStyle w:val="Enfasiforte"/>
                <w:rFonts w:eastAsia="Calibri" w:cs="Arial" w:ascii="Arial" w:hAnsi="Arial"/>
                <w:b/>
                <w:color w:val="00000A"/>
                <w:kern w:val="2"/>
                <w:sz w:val="14"/>
                <w:szCs w:val="14"/>
                <w:lang w:val="it-IT" w:bidi="it-IT"/>
              </w:rPr>
              <w:t xml:space="preserve"> 8608042CF7</w:t>
            </w:r>
            <w:r>
              <w:rPr>
                <w:rFonts w:eastAsia="Calibri" w:cs="Arial" w:ascii="Arial" w:hAnsi="Arial"/>
                <w:b/>
                <w:color w:val="00000A"/>
                <w:kern w:val="2"/>
                <w:sz w:val="14"/>
                <w:szCs w:val="14"/>
                <w:lang w:val="it-IT" w:bidi="it-IT"/>
              </w:rPr>
              <w:t>]</w:t>
            </w:r>
          </w:p>
          <w:p>
            <w:pPr>
              <w:pStyle w:val="Normal"/>
              <w:widowControl w:val="false"/>
              <w:rPr>
                <w:rFonts w:ascii="Arial" w:hAnsi="Arial" w:eastAsia="Calibri"/>
                <w:b/>
                <w:b/>
                <w:color w:val="00000A"/>
                <w:kern w:val="2"/>
                <w:sz w:val="14"/>
                <w:szCs w:val="14"/>
                <w:lang w:bidi="it-IT"/>
              </w:rPr>
            </w:pPr>
            <w:r>
              <w:rPr>
                <w:rFonts w:eastAsia="Calibri" w:cs="Arial" w:ascii="Arial" w:hAnsi="Arial"/>
                <w:b/>
                <w:color w:val="00000A"/>
                <w:kern w:val="2"/>
                <w:sz w:val="14"/>
                <w:szCs w:val="14"/>
                <w:lang w:val="it-IT" w:bidi="it-IT"/>
              </w:rPr>
              <w:t>[ F39J18000320001</w:t>
            </w:r>
            <w:r>
              <w:rPr>
                <w:rFonts w:eastAsia="Calibri" w:cs="Arial" w:ascii="Arial" w:hAnsi="Arial"/>
                <w:b/>
                <w:color w:val="00000A"/>
                <w:spacing w:val="17"/>
                <w:kern w:val="2"/>
                <w:sz w:val="14"/>
                <w:szCs w:val="14"/>
                <w:lang w:val="it-IT" w:bidi="it-IT"/>
              </w:rPr>
              <w:t xml:space="preserve"> </w:t>
            </w:r>
            <w:r>
              <w:rPr>
                <w:rFonts w:eastAsia="Calibri" w:cs="Arial" w:ascii="Arial" w:hAnsi="Arial"/>
                <w:b/>
                <w:color w:val="00000A"/>
                <w:kern w:val="2"/>
                <w:sz w:val="14"/>
                <w:szCs w:val="14"/>
                <w:lang w:val="it-IT" w:bidi="it-IT"/>
              </w:rPr>
              <w:t xml:space="preserve">]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19"/>
        <w:gridCol w:w="2337"/>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19"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1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1"/>
            <w:bookmarkStart w:id="3" w:name="_DV_M4300"/>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2"/>
        <w:gridCol w:w="5261"/>
      </w:tblGrid>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LibreOffice/7.0.1.2$Windows_X86_64 LibreOffice_project/7cbcfc562f6eb6708b5ff7d7397325de9e764452</Application>
  <Pages>18</Pages>
  <Words>6821</Words>
  <Characters>39953</Characters>
  <CharactersWithSpaces>46668</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2021-05-26T17:15:30Z</dcterms:modified>
  <cp:revision>6</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