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4044CA" w:rsidRDefault="004044CA">
      <w:pPr>
        <w:jc w:val="both"/>
        <w:rPr>
          <w:rFonts w:ascii="Garamond" w:hAnsi="Garamond" w:cs="Garamond"/>
          <w:b/>
        </w:rPr>
      </w:pPr>
    </w:p>
    <w:p w:rsidR="00574CEB" w:rsidRPr="00BB41E6" w:rsidRDefault="00574CEB" w:rsidP="00574CEB">
      <w:pPr>
        <w:pBdr>
          <w:top w:val="single" w:sz="4" w:space="1" w:color="000000"/>
          <w:left w:val="single" w:sz="4" w:space="4" w:color="000000"/>
          <w:bottom w:val="single" w:sz="4" w:space="0" w:color="000000"/>
          <w:right w:val="single" w:sz="4" w:space="4" w:color="000000"/>
        </w:pBdr>
        <w:spacing w:line="276" w:lineRule="auto"/>
        <w:jc w:val="center"/>
        <w:rPr>
          <w:i/>
          <w:sz w:val="22"/>
          <w:szCs w:val="22"/>
        </w:rPr>
      </w:pPr>
      <w:r w:rsidRPr="00BB41E6">
        <w:rPr>
          <w:bCs/>
          <w:i/>
          <w:sz w:val="22"/>
          <w:szCs w:val="22"/>
        </w:rPr>
        <w:t xml:space="preserve">Procedura aperta ai sensi dell’art. 71 del </w:t>
      </w:r>
      <w:proofErr w:type="spellStart"/>
      <w:r w:rsidRPr="00BB41E6">
        <w:rPr>
          <w:bCs/>
          <w:i/>
          <w:sz w:val="22"/>
          <w:szCs w:val="22"/>
        </w:rPr>
        <w:t>D.Lgs.</w:t>
      </w:r>
      <w:proofErr w:type="spellEnd"/>
      <w:r w:rsidRPr="00BB41E6">
        <w:rPr>
          <w:bCs/>
          <w:i/>
          <w:sz w:val="22"/>
          <w:szCs w:val="22"/>
        </w:rPr>
        <w:t xml:space="preserve"> n. 36//2023 </w:t>
      </w:r>
    </w:p>
    <w:p w:rsidR="00574CEB" w:rsidRPr="003B5479" w:rsidRDefault="00574CEB" w:rsidP="00574CEB">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rsidR="00574CEB" w:rsidRPr="000B1DAC" w:rsidRDefault="00574CEB" w:rsidP="00574CEB">
      <w:pPr>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bookmarkStart w:id="0" w:name="_Hlk140248833"/>
      <w:r w:rsidRPr="000B1DAC">
        <w:rPr>
          <w:b/>
          <w:bCs/>
          <w:i/>
          <w:color w:val="FF0000"/>
          <w:sz w:val="21"/>
          <w:szCs w:val="21"/>
        </w:rPr>
        <w:t>APPALTO INTEGRATO</w:t>
      </w:r>
    </w:p>
    <w:bookmarkEnd w:id="0"/>
    <w:p w:rsidR="00574CEB" w:rsidRDefault="00574CEB" w:rsidP="00574CEB">
      <w:pPr>
        <w:pBdr>
          <w:top w:val="single" w:sz="4" w:space="1" w:color="000000"/>
          <w:left w:val="single" w:sz="4" w:space="4" w:color="000000"/>
          <w:bottom w:val="single" w:sz="4" w:space="0" w:color="000000"/>
          <w:right w:val="single" w:sz="4" w:space="4" w:color="000000"/>
        </w:pBdr>
        <w:spacing w:line="276" w:lineRule="auto"/>
        <w:jc w:val="center"/>
        <w:rPr>
          <w:rFonts w:eastAsia="NSimSun"/>
          <w:color w:val="000000"/>
          <w:lang w:eastAsia="it-IT"/>
        </w:rPr>
      </w:pPr>
      <w:r w:rsidRPr="00C55AB4">
        <w:rPr>
          <w:rFonts w:eastAsia="NSimSun"/>
          <w:color w:val="000000"/>
          <w:lang w:eastAsia="it-IT"/>
        </w:rPr>
        <w:t xml:space="preserve"> </w:t>
      </w:r>
      <w:r>
        <w:rPr>
          <w:rFonts w:eastAsia="NSimSun"/>
          <w:color w:val="000000"/>
          <w:lang w:eastAsia="it-IT"/>
        </w:rPr>
        <w:t xml:space="preserve">“ </w:t>
      </w:r>
      <w:r w:rsidRPr="0047770C">
        <w:rPr>
          <w:rFonts w:eastAsia="NSimSun"/>
          <w:b/>
          <w:color w:val="000000"/>
          <w:lang w:eastAsia="it-IT"/>
        </w:rPr>
        <w:t xml:space="preserve">PROGETTAZIONE ESECUTIVA ED ESECUZIONE LAVORI </w:t>
      </w:r>
      <w:proofErr w:type="spellStart"/>
      <w:r w:rsidRPr="0047770C">
        <w:rPr>
          <w:rFonts w:eastAsia="NSimSun"/>
          <w:b/>
          <w:color w:val="000000"/>
          <w:lang w:eastAsia="it-IT"/>
        </w:rPr>
        <w:t>DI</w:t>
      </w:r>
      <w:proofErr w:type="spellEnd"/>
      <w:r w:rsidRPr="0047770C">
        <w:rPr>
          <w:rFonts w:eastAsia="NSimSun"/>
          <w:b/>
          <w:color w:val="000000"/>
          <w:lang w:eastAsia="it-IT"/>
        </w:rPr>
        <w:t xml:space="preserve"> ADEGUAMENTO SISMICO LICEO CLASSICO</w:t>
      </w:r>
      <w:r>
        <w:rPr>
          <w:rFonts w:eastAsia="NSimSun"/>
          <w:b/>
          <w:color w:val="000000"/>
          <w:lang w:eastAsia="it-IT"/>
        </w:rPr>
        <w:t xml:space="preserve"> </w:t>
      </w:r>
      <w:r w:rsidRPr="0047770C">
        <w:rPr>
          <w:rFonts w:eastAsia="NSimSun"/>
          <w:b/>
          <w:color w:val="000000"/>
          <w:lang w:eastAsia="it-IT"/>
        </w:rPr>
        <w:t>– CORPO B</w:t>
      </w:r>
      <w:r>
        <w:rPr>
          <w:rFonts w:eastAsia="NSimSun"/>
          <w:b/>
          <w:color w:val="000000"/>
          <w:lang w:eastAsia="it-IT"/>
        </w:rPr>
        <w:t xml:space="preserve"> </w:t>
      </w:r>
      <w:proofErr w:type="spellStart"/>
      <w:r>
        <w:rPr>
          <w:rFonts w:eastAsia="NSimSun"/>
          <w:b/>
          <w:color w:val="000000"/>
          <w:lang w:eastAsia="it-IT"/>
        </w:rPr>
        <w:t>DI</w:t>
      </w:r>
      <w:proofErr w:type="spellEnd"/>
      <w:r>
        <w:rPr>
          <w:rFonts w:eastAsia="NSimSun"/>
          <w:b/>
          <w:color w:val="000000"/>
          <w:lang w:eastAsia="it-IT"/>
        </w:rPr>
        <w:t xml:space="preserve"> RENDE (CS)</w:t>
      </w:r>
      <w:r>
        <w:rPr>
          <w:rFonts w:eastAsia="NSimSun"/>
          <w:color w:val="000000"/>
          <w:lang w:eastAsia="it-IT"/>
        </w:rPr>
        <w:t xml:space="preserve">” </w:t>
      </w:r>
    </w:p>
    <w:p w:rsidR="00574CEB" w:rsidRPr="000B1DAC" w:rsidRDefault="00574CEB" w:rsidP="00574CEB">
      <w:pPr>
        <w:pBdr>
          <w:top w:val="single" w:sz="4" w:space="1" w:color="000000"/>
          <w:left w:val="single" w:sz="4" w:space="4" w:color="000000"/>
          <w:bottom w:val="single" w:sz="4" w:space="0" w:color="000000"/>
          <w:right w:val="single" w:sz="4" w:space="4" w:color="000000"/>
        </w:pBdr>
        <w:spacing w:line="276" w:lineRule="auto"/>
        <w:jc w:val="center"/>
        <w:rPr>
          <w:rFonts w:eastAsia="NSimSun"/>
          <w:b/>
          <w:sz w:val="21"/>
          <w:szCs w:val="21"/>
        </w:rPr>
      </w:pPr>
    </w:p>
    <w:p w:rsidR="00574CEB" w:rsidRDefault="00574CEB" w:rsidP="00574CEB">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3B5479">
        <w:rPr>
          <w:b/>
          <w:sz w:val="21"/>
          <w:szCs w:val="21"/>
        </w:rPr>
        <w:t>CIG:</w:t>
      </w:r>
      <w:r w:rsidRPr="0006732E">
        <w:rPr>
          <w:rFonts w:ascii="TimesNewRomanPSMT" w:eastAsia="NSimSun" w:hAnsi="TimesNewRomanPSMT" w:cs="TimesNewRomanPSMT"/>
          <w:lang w:eastAsia="it-IT"/>
        </w:rPr>
        <w:t xml:space="preserve"> </w:t>
      </w:r>
      <w:r>
        <w:rPr>
          <w:bCs/>
          <w:sz w:val="21"/>
          <w:szCs w:val="21"/>
        </w:rPr>
        <w:t>9999387B2F</w:t>
      </w:r>
      <w:r w:rsidRPr="003B5479">
        <w:rPr>
          <w:b/>
          <w:color w:val="000000"/>
          <w:spacing w:val="1"/>
          <w:sz w:val="21"/>
          <w:szCs w:val="21"/>
          <w:lang w:eastAsia="en-US"/>
        </w:rPr>
        <w:t xml:space="preserve"> </w:t>
      </w:r>
      <w:r w:rsidRPr="003B5479">
        <w:rPr>
          <w:b/>
          <w:sz w:val="21"/>
          <w:szCs w:val="21"/>
        </w:rPr>
        <w:t xml:space="preserve">– CUP: </w:t>
      </w:r>
      <w:r w:rsidRPr="000B1DAC">
        <w:rPr>
          <w:bCs/>
          <w:sz w:val="21"/>
          <w:szCs w:val="21"/>
        </w:rPr>
        <w:t>F22E20000000001</w:t>
      </w:r>
    </w:p>
    <w:p w:rsidR="00574CEB" w:rsidRPr="00BB41E6" w:rsidRDefault="00574CEB" w:rsidP="00574CEB">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BB41E6">
        <w:rPr>
          <w:b/>
          <w:bCs/>
          <w:sz w:val="21"/>
          <w:szCs w:val="21"/>
        </w:rPr>
        <w:t>Cod. Gara: 23SUA063</w:t>
      </w:r>
    </w:p>
    <w:p w:rsidR="00A65606" w:rsidRDefault="00A65606">
      <w:pPr>
        <w:spacing w:line="360" w:lineRule="auto"/>
        <w:jc w:val="center"/>
        <w:rPr>
          <w:rFonts w:ascii="Garamond" w:eastAsia="Calibri" w:hAnsi="Garamond" w:cs="Garamond"/>
          <w:b/>
        </w:rPr>
      </w:pPr>
    </w:p>
    <w:p w:rsidR="004044CA" w:rsidRDefault="007C364C">
      <w:pPr>
        <w:spacing w:line="360" w:lineRule="auto"/>
        <w:jc w:val="center"/>
        <w:rPr>
          <w:rFonts w:ascii="Garamond" w:eastAsia="Calibri" w:hAnsi="Garamond" w:cs="Garamond"/>
          <w:b/>
        </w:rPr>
      </w:pPr>
      <w:r>
        <w:rPr>
          <w:rFonts w:ascii="Garamond" w:eastAsia="Calibri" w:hAnsi="Garamond" w:cs="Garamond"/>
          <w:b/>
        </w:rPr>
        <w:t xml:space="preserve">PATTO </w:t>
      </w:r>
      <w:proofErr w:type="spellStart"/>
      <w:r>
        <w:rPr>
          <w:rFonts w:ascii="Garamond" w:eastAsia="Calibri" w:hAnsi="Garamond" w:cs="Garamond"/>
          <w:b/>
        </w:rPr>
        <w:t>DI</w:t>
      </w:r>
      <w:proofErr w:type="spellEnd"/>
      <w:r>
        <w:rPr>
          <w:rFonts w:ascii="Garamond" w:eastAsia="Calibri" w:hAnsi="Garamond" w:cs="Garamond"/>
          <w:b/>
        </w:rPr>
        <w:t xml:space="preserve"> INTEGRITA’</w:t>
      </w:r>
    </w:p>
    <w:p w:rsidR="004044CA" w:rsidRDefault="007C364C">
      <w:pPr>
        <w:jc w:val="center"/>
        <w:rPr>
          <w:rFonts w:ascii="Garamond" w:hAnsi="Garamond" w:cs="Garamond"/>
          <w:bCs/>
        </w:rPr>
      </w:pPr>
      <w:r>
        <w:rPr>
          <w:rFonts w:ascii="Garamond" w:hAnsi="Garamond" w:cs="Garamond"/>
          <w:bCs/>
        </w:rPr>
        <w:t>tra</w:t>
      </w:r>
    </w:p>
    <w:p w:rsidR="004044CA" w:rsidRDefault="004044CA">
      <w:pPr>
        <w:jc w:val="center"/>
        <w:rPr>
          <w:rFonts w:ascii="Garamond" w:hAnsi="Garamond" w:cs="Garamond"/>
          <w:bCs/>
        </w:rPr>
      </w:pPr>
    </w:p>
    <w:p w:rsidR="004044CA" w:rsidRDefault="007C364C">
      <w:pPr>
        <w:jc w:val="center"/>
        <w:rPr>
          <w:rFonts w:ascii="Garamond" w:hAnsi="Garamond" w:cs="Garamond"/>
          <w:bCs/>
        </w:rPr>
      </w:pPr>
      <w:r>
        <w:rPr>
          <w:rFonts w:ascii="Garamond" w:hAnsi="Garamond" w:cs="Garamond"/>
          <w:bCs/>
        </w:rPr>
        <w:t>la Provincia di Cosenza</w:t>
      </w:r>
    </w:p>
    <w:p w:rsidR="004044CA" w:rsidRDefault="007C364C">
      <w:pPr>
        <w:spacing w:before="240"/>
        <w:jc w:val="center"/>
        <w:rPr>
          <w:rFonts w:ascii="Garamond" w:hAnsi="Garamond" w:cs="Garamond"/>
          <w:bCs/>
        </w:rPr>
      </w:pPr>
      <w:r>
        <w:rPr>
          <w:rFonts w:ascii="Garamond" w:hAnsi="Garamond" w:cs="Garamond"/>
          <w:bCs/>
        </w:rPr>
        <w:t>e</w:t>
      </w:r>
    </w:p>
    <w:p w:rsidR="004044CA" w:rsidRDefault="007C364C">
      <w:pPr>
        <w:jc w:val="both"/>
        <w:rPr>
          <w:rFonts w:ascii="Garamond" w:hAnsi="Garamond" w:cs="Garamond"/>
          <w:bCs/>
        </w:rPr>
      </w:pPr>
      <w:r>
        <w:rPr>
          <w:rFonts w:ascii="Garamond" w:hAnsi="Garamond" w:cs="Garamond"/>
          <w:bCs/>
        </w:rPr>
        <w:t xml:space="preserve">l’Operatore Economico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sede legale in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w:t>
      </w:r>
      <w:proofErr w:type="spellStart"/>
      <w:r>
        <w:rPr>
          <w:rFonts w:ascii="Garamond" w:hAnsi="Garamond" w:cs="Garamond"/>
          <w:bCs/>
        </w:rPr>
        <w:t>via………………………………………….……</w:t>
      </w:r>
      <w:proofErr w:type="spellEnd"/>
      <w:r>
        <w:rPr>
          <w:rFonts w:ascii="Garamond" w:hAnsi="Garamond" w:cs="Garamond"/>
          <w:bCs/>
        </w:rPr>
        <w:t xml:space="preserve"> </w:t>
      </w:r>
      <w:proofErr w:type="spellStart"/>
      <w:r>
        <w:rPr>
          <w:rFonts w:ascii="Garamond" w:hAnsi="Garamond" w:cs="Garamond"/>
          <w:bCs/>
        </w:rPr>
        <w:t>n……</w:t>
      </w:r>
      <w:proofErr w:type="spellEnd"/>
      <w:r>
        <w:rPr>
          <w:rFonts w:ascii="Garamond" w:hAnsi="Garamond" w:cs="Garamond"/>
          <w:bCs/>
        </w:rPr>
        <w:t>. codice fiscale/</w:t>
      </w:r>
      <w:proofErr w:type="spellStart"/>
      <w:r>
        <w:rPr>
          <w:rFonts w:ascii="Garamond" w:hAnsi="Garamond" w:cs="Garamond"/>
          <w:bCs/>
        </w:rPr>
        <w:t>P.IVA</w:t>
      </w:r>
      <w:proofErr w:type="spellEnd"/>
      <w:r>
        <w:rPr>
          <w:rFonts w:ascii="Garamond" w:hAnsi="Garamond" w:cs="Garamond"/>
          <w:bCs/>
        </w:rPr>
        <w:t xml:space="preserve"> </w:t>
      </w:r>
      <w:proofErr w:type="spellStart"/>
      <w:r>
        <w:rPr>
          <w:rFonts w:ascii="Garamond" w:hAnsi="Garamond" w:cs="Garamond"/>
          <w:bCs/>
        </w:rPr>
        <w:t>……………………….………</w:t>
      </w:r>
      <w:proofErr w:type="spellEnd"/>
      <w:r>
        <w:rPr>
          <w:rFonts w:ascii="Garamond" w:hAnsi="Garamond" w:cs="Garamond"/>
          <w:bCs/>
        </w:rPr>
        <w:t xml:space="preserve">., rappresentato da </w:t>
      </w:r>
      <w:proofErr w:type="spellStart"/>
      <w:r>
        <w:rPr>
          <w:rFonts w:ascii="Garamond" w:hAnsi="Garamond" w:cs="Garamond"/>
          <w:bCs/>
        </w:rPr>
        <w:t>……………………………</w:t>
      </w:r>
      <w:proofErr w:type="spellEnd"/>
      <w:r>
        <w:rPr>
          <w:rFonts w:ascii="Garamond" w:hAnsi="Garamond" w:cs="Garamond"/>
          <w:bCs/>
        </w:rPr>
        <w:t>..</w:t>
      </w:r>
    </w:p>
    <w:p w:rsidR="004044CA" w:rsidRDefault="007C364C">
      <w:pPr>
        <w:jc w:val="both"/>
      </w:pPr>
      <w:proofErr w:type="spellStart"/>
      <w:r>
        <w:rPr>
          <w:rFonts w:ascii="Garamond" w:hAnsi="Garamond" w:cs="Garamond"/>
          <w:bCs/>
        </w:rPr>
        <w:t>………………………………</w:t>
      </w:r>
      <w:proofErr w:type="spellEnd"/>
      <w:r>
        <w:rPr>
          <w:rFonts w:ascii="Garamond" w:hAnsi="Garamond" w:cs="Garamond"/>
          <w:bCs/>
        </w:rPr>
        <w:t xml:space="preserve">.... in qualità di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w:t>
      </w: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Pr>
          <w:rFonts w:ascii="Garamond" w:hAnsi="Garamond" w:cs="Garamond"/>
          <w:bCs/>
        </w:rPr>
        <w:t>lgs</w:t>
      </w:r>
      <w:proofErr w:type="spellEnd"/>
      <w:r>
        <w:rPr>
          <w:rFonts w:ascii="Garamond" w:hAnsi="Garamond" w:cs="Garamond"/>
          <w:bCs/>
        </w:rPr>
        <w:t xml:space="preserve">. n. 50/2016 e </w:t>
      </w:r>
      <w:proofErr w:type="spellStart"/>
      <w:r>
        <w:rPr>
          <w:rFonts w:ascii="Garamond" w:hAnsi="Garamond" w:cs="Garamond"/>
          <w:bCs/>
        </w:rPr>
        <w:t>s.m.i.</w:t>
      </w:r>
      <w:proofErr w:type="spellEnd"/>
    </w:p>
    <w:p w:rsidR="004044CA" w:rsidRDefault="004044CA">
      <w:pPr>
        <w:jc w:val="both"/>
        <w:rPr>
          <w:rFonts w:ascii="Garamond" w:hAnsi="Garamond" w:cs="Garamond"/>
          <w:bCs/>
        </w:rPr>
      </w:pPr>
    </w:p>
    <w:p w:rsidR="004044CA" w:rsidRDefault="007C364C">
      <w:pPr>
        <w:jc w:val="center"/>
        <w:rPr>
          <w:rFonts w:ascii="Garamond" w:hAnsi="Garamond" w:cs="Garamond"/>
          <w:b/>
          <w:bCs/>
        </w:rPr>
      </w:pPr>
      <w:r>
        <w:rPr>
          <w:rFonts w:ascii="Garamond" w:hAnsi="Garamond" w:cs="Garamond"/>
          <w:b/>
          <w:bCs/>
        </w:rPr>
        <w:t>VISTI</w:t>
      </w:r>
    </w:p>
    <w:p w:rsidR="004044CA" w:rsidRDefault="004044CA">
      <w:pPr>
        <w:jc w:val="center"/>
        <w:rPr>
          <w:rFonts w:ascii="Garamond" w:hAnsi="Garamond" w:cs="Garamond"/>
          <w:b/>
          <w:bCs/>
        </w:rPr>
      </w:pPr>
    </w:p>
    <w:p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w:t>
      </w:r>
      <w:proofErr w:type="spellStart"/>
      <w:r>
        <w:rPr>
          <w:rFonts w:ascii="Garamond" w:hAnsi="Garamond" w:cs="Garamond"/>
          <w:bCs/>
        </w:rPr>
        <w:t>P.N.A.</w:t>
      </w:r>
      <w:proofErr w:type="spellEnd"/>
      <w:r>
        <w:rPr>
          <w:rFonts w:ascii="Garamond" w:hAnsi="Garamond" w:cs="Garamond"/>
          <w:bCs/>
        </w:rPr>
        <w:t>) 2016 emanato dall’Autorità Nazionale Anticorruzione e per la valutazione e la trasparenza delle amministrazioni pubbliche approvato con Delibera n. 831 del 3 agosto 2016 e successivi aggiornamenti;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rsidR="004044CA" w:rsidRDefault="007C364C">
      <w:pPr>
        <w:jc w:val="both"/>
      </w:pPr>
      <w:r>
        <w:rPr>
          <w:rFonts w:ascii="Garamond" w:hAnsi="Garamond" w:cs="Garamond"/>
          <w:bCs/>
        </w:rPr>
        <w:lastRenderedPageBreak/>
        <w:t>–</w:t>
      </w:r>
      <w:r>
        <w:rPr>
          <w:rFonts w:ascii="Garamond" w:eastAsia="Garamond" w:hAnsi="Garamond" w:cs="Garamond"/>
          <w:bCs/>
        </w:rPr>
        <w:t xml:space="preserve"> </w:t>
      </w:r>
      <w:r>
        <w:rPr>
          <w:rFonts w:ascii="Garamond" w:eastAsia="Calibri" w:hAnsi="Garamond" w:cs="Garamond"/>
          <w:color w:val="000000"/>
        </w:rPr>
        <w:t>il Piano Triennale di Prevenzione della Corruzio</w:t>
      </w:r>
      <w:r>
        <w:rPr>
          <w:rFonts w:ascii="Garamond" w:hAnsi="Garamond" w:cs="Garamond"/>
          <w:bCs/>
        </w:rPr>
        <w:t>ne 2021/2023, approvato, in sede di aggiornamento, con Disposizione Presidenziale n. 32 del 29 Marzo 2021 e la relativa sezione “Programma Triennale per la Trasparenza e l’Integrità”;</w:t>
      </w:r>
    </w:p>
    <w:p w:rsidR="004044CA" w:rsidRDefault="004044CA">
      <w:pPr>
        <w:jc w:val="both"/>
        <w:rPr>
          <w:rFonts w:ascii="Garamond" w:eastAsia="Calibri" w:hAnsi="Garamond" w:cs="Garamond"/>
          <w:bCs/>
          <w:color w:val="000000"/>
        </w:rPr>
      </w:pPr>
    </w:p>
    <w:p w:rsidR="004044CA" w:rsidRDefault="004044CA">
      <w:pPr>
        <w:jc w:val="center"/>
        <w:rPr>
          <w:rFonts w:ascii="Garamond" w:eastAsia="Calibri" w:hAnsi="Garamond" w:cs="Garamond"/>
          <w:bCs/>
          <w:color w:val="000000"/>
        </w:rPr>
      </w:pPr>
    </w:p>
    <w:p w:rsidR="004044CA" w:rsidRDefault="007C364C">
      <w:pPr>
        <w:jc w:val="center"/>
        <w:rPr>
          <w:rFonts w:ascii="Garamond" w:hAnsi="Garamond" w:cs="Garamond"/>
          <w:b/>
          <w:bCs/>
        </w:rPr>
      </w:pPr>
      <w:r>
        <w:rPr>
          <w:rFonts w:ascii="Garamond" w:hAnsi="Garamond" w:cs="Garamond"/>
          <w:b/>
          <w:bCs/>
        </w:rPr>
        <w:t>SI CONVIENE QUANTO SEGUE</w:t>
      </w:r>
    </w:p>
    <w:p w:rsidR="004044CA" w:rsidRDefault="004044CA">
      <w:pPr>
        <w:jc w:val="center"/>
        <w:rPr>
          <w:rFonts w:ascii="Garamond" w:hAnsi="Garamond" w:cs="Garamond"/>
          <w:b/>
          <w:bCs/>
        </w:rPr>
      </w:pPr>
    </w:p>
    <w:p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w:t>
      </w:r>
      <w:proofErr w:type="spellStart"/>
      <w:r>
        <w:rPr>
          <w:rFonts w:ascii="Garamond" w:hAnsi="Garamond" w:cs="Garamond"/>
          <w:bCs/>
        </w:rPr>
        <w:t>A.N.AC.</w:t>
      </w:r>
      <w:proofErr w:type="spellEnd"/>
      <w:r>
        <w:rPr>
          <w:rFonts w:ascii="Garamond" w:hAnsi="Garamond" w:cs="Garamond"/>
          <w:bCs/>
        </w:rPr>
        <w:t>;</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Default="007C364C">
      <w:pPr>
        <w:jc w:val="both"/>
        <w:rPr>
          <w:rFonts w:ascii="Garamond" w:hAnsi="Garamond" w:cs="Garamond"/>
          <w:bCs/>
        </w:rPr>
      </w:pPr>
      <w:r>
        <w:rPr>
          <w:rFonts w:ascii="Garamond" w:hAnsi="Garamond" w:cs="Garamond"/>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Pr>
          <w:rFonts w:ascii="Garamond" w:hAnsi="Garamond" w:cs="Garamond"/>
          <w:bCs/>
        </w:rPr>
        <w:t>c.p</w:t>
      </w:r>
      <w:proofErr w:type="spellEnd"/>
      <w:r>
        <w:rPr>
          <w:rFonts w:ascii="Garamond" w:hAnsi="Garamond" w:cs="Garamond"/>
          <w:bCs/>
        </w:rPr>
        <w:t>..</w:t>
      </w:r>
    </w:p>
    <w:p w:rsidR="004044CA" w:rsidRDefault="007C364C">
      <w:pPr>
        <w:jc w:val="both"/>
        <w:rPr>
          <w:rFonts w:ascii="Garamond" w:hAnsi="Garamond" w:cs="Garamond"/>
          <w:bCs/>
        </w:rPr>
      </w:pPr>
      <w:r>
        <w:rPr>
          <w:rFonts w:ascii="Garamond" w:hAnsi="Garamond" w:cs="Garamond"/>
          <w:bCs/>
        </w:rPr>
        <w:lastRenderedPageBreak/>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Pr>
          <w:rFonts w:ascii="Garamond" w:hAnsi="Garamond" w:cs="Garamond"/>
          <w:bCs/>
        </w:rPr>
        <w:t>pattizia</w:t>
      </w:r>
      <w:proofErr w:type="spellEnd"/>
      <w:r>
        <w:rPr>
          <w:rFonts w:ascii="Garamond" w:hAnsi="Garamond" w:cs="Garamond"/>
          <w:bCs/>
        </w:rPr>
        <w:t>.</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Luogo e data </w:t>
      </w:r>
      <w:proofErr w:type="spellStart"/>
      <w:r>
        <w:rPr>
          <w:rFonts w:ascii="Garamond" w:hAnsi="Garamond" w:cs="Garamond"/>
          <w:bCs/>
        </w:rPr>
        <w:t>…………………</w:t>
      </w:r>
      <w:proofErr w:type="spellEnd"/>
      <w:r>
        <w:rPr>
          <w:rFonts w:ascii="Garamond" w:hAnsi="Garamond" w:cs="Garamond"/>
          <w:bCs/>
        </w:rPr>
        <w:t>.</w:t>
      </w:r>
    </w:p>
    <w:p w:rsidR="004044CA" w:rsidRDefault="007C364C">
      <w:pPr>
        <w:jc w:val="both"/>
      </w:pPr>
      <w:r>
        <w:rPr>
          <w:rFonts w:ascii="Garamond" w:eastAsia="Garamond" w:hAnsi="Garamond" w:cs="Garamond"/>
          <w:bCs/>
        </w:rPr>
        <w:t xml:space="preserve">                                                                                                                  </w:t>
      </w:r>
      <w:r>
        <w:rPr>
          <w:rFonts w:ascii="Garamond" w:hAnsi="Garamond" w:cs="Garamond"/>
          <w:bCs/>
        </w:rPr>
        <w:t>Per l’ Operatore economico:</w:t>
      </w:r>
    </w:p>
    <w:p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rsidR="004044CA" w:rsidRDefault="007C364C">
      <w:pPr>
        <w:jc w:val="both"/>
      </w:pPr>
      <w:r>
        <w:rPr>
          <w:rFonts w:ascii="Garamond" w:eastAsia="Garamond" w:hAnsi="Garamond" w:cs="Garamond"/>
          <w:bCs/>
        </w:rPr>
        <w:t xml:space="preserve">                                                                                                                       </w:t>
      </w:r>
      <w:r>
        <w:rPr>
          <w:rFonts w:ascii="Garamond" w:hAnsi="Garamond" w:cs="Garamond"/>
          <w:bCs/>
        </w:rPr>
        <w:t>(firmato digitalmente)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auto"/>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1B0FA1">
    <w:pPr>
      <w:pStyle w:val="Footer"/>
      <w:jc w:val="center"/>
    </w:pPr>
    <w:r>
      <w:fldChar w:fldCharType="begin"/>
    </w:r>
    <w:r w:rsidR="007C364C">
      <w:instrText xml:space="preserve"> PAGE </w:instrText>
    </w:r>
    <w:r>
      <w:fldChar w:fldCharType="separate"/>
    </w:r>
    <w:r w:rsidR="00574CEB">
      <w:rPr>
        <w:noProof/>
      </w:rPr>
      <w:t>2</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574CEB">
      <w:rPr>
        <w:rFonts w:ascii="Garamond" w:hAnsi="Garamond" w:cs="Garamond"/>
        <w:b/>
        <w:sz w:val="20"/>
        <w:szCs w:val="20"/>
      </w:rPr>
      <w:t xml:space="preserve"> COD. Gara_23SUA063</w:t>
    </w: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B0FA1"/>
    <w:rsid w:val="001E46C2"/>
    <w:rsid w:val="002F0E15"/>
    <w:rsid w:val="003B7CB9"/>
    <w:rsid w:val="004044CA"/>
    <w:rsid w:val="00483F55"/>
    <w:rsid w:val="004C0BD4"/>
    <w:rsid w:val="00517D31"/>
    <w:rsid w:val="00574CEB"/>
    <w:rsid w:val="005F6895"/>
    <w:rsid w:val="00721DCD"/>
    <w:rsid w:val="007C364C"/>
    <w:rsid w:val="00864739"/>
    <w:rsid w:val="00A65606"/>
    <w:rsid w:val="00BF045D"/>
    <w:rsid w:val="00BF1DAC"/>
    <w:rsid w:val="00C71146"/>
    <w:rsid w:val="00EA61FD"/>
    <w:rsid w:val="00FA175E"/>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234048244">
      <w:bodyDiv w:val="1"/>
      <w:marLeft w:val="0"/>
      <w:marRight w:val="0"/>
      <w:marTop w:val="0"/>
      <w:marBottom w:val="0"/>
      <w:divBdr>
        <w:top w:val="none" w:sz="0" w:space="0" w:color="auto"/>
        <w:left w:val="none" w:sz="0" w:space="0" w:color="auto"/>
        <w:bottom w:val="none" w:sz="0" w:space="0" w:color="auto"/>
        <w:right w:val="none" w:sz="0" w:space="0" w:color="auto"/>
      </w:divBdr>
    </w:div>
    <w:div w:id="176687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Nicoletta Perrotti</cp:lastModifiedBy>
  <cp:revision>20</cp:revision>
  <cp:lastPrinted>2017-07-28T11:10:00Z</cp:lastPrinted>
  <dcterms:created xsi:type="dcterms:W3CDTF">2020-04-22T15:26:00Z</dcterms:created>
  <dcterms:modified xsi:type="dcterms:W3CDTF">2023-08-30T07:50:00Z</dcterms:modified>
  <dc:language>it-IT</dc:language>
</cp:coreProperties>
</file>