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4044CA" w:rsidRDefault="004044CA">
      <w:pPr>
        <w:jc w:val="both"/>
        <w:rPr>
          <w:rFonts w:ascii="Garamond" w:hAnsi="Garamond" w:cs="Garamond"/>
          <w:b/>
        </w:rPr>
      </w:pPr>
    </w:p>
    <w:p w:rsidR="00EA61FD" w:rsidRDefault="007C364C" w:rsidP="00EA61FD">
      <w:pPr>
        <w:pBdr>
          <w:top w:val="single" w:sz="4" w:space="1" w:color="000000"/>
          <w:left w:val="single" w:sz="4" w:space="4" w:color="000000"/>
          <w:bottom w:val="single" w:sz="4" w:space="0" w:color="000000"/>
          <w:right w:val="single" w:sz="4" w:space="4" w:color="000000"/>
        </w:pBdr>
        <w:spacing w:line="276" w:lineRule="auto"/>
        <w:jc w:val="center"/>
      </w:pPr>
      <w:r>
        <w:rPr>
          <w:rFonts w:ascii="Garamond" w:hAnsi="Garamond" w:cs="Garamond"/>
          <w:b/>
        </w:rPr>
        <w:t xml:space="preserve">OGGETTO: </w:t>
      </w:r>
      <w:r w:rsidR="00EA61FD">
        <w:rPr>
          <w:bCs/>
          <w:sz w:val="21"/>
          <w:szCs w:val="21"/>
        </w:rPr>
        <w:t xml:space="preserve">Procedura aperta ai sensi dell’art. 71 del </w:t>
      </w:r>
      <w:proofErr w:type="spellStart"/>
      <w:r w:rsidR="00EA61FD">
        <w:rPr>
          <w:bCs/>
          <w:sz w:val="21"/>
          <w:szCs w:val="21"/>
        </w:rPr>
        <w:t>D.Lgs.</w:t>
      </w:r>
      <w:proofErr w:type="spellEnd"/>
      <w:r w:rsidR="00EA61FD">
        <w:rPr>
          <w:bCs/>
          <w:sz w:val="21"/>
          <w:szCs w:val="21"/>
        </w:rPr>
        <w:t xml:space="preserve"> n. 36//2023 –</w:t>
      </w:r>
    </w:p>
    <w:p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rsidR="00177D2E" w:rsidRPr="00177D2E" w:rsidRDefault="00177D2E" w:rsidP="00177D2E">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177D2E">
        <w:rPr>
          <w:b/>
          <w:bCs/>
          <w:i/>
          <w:sz w:val="21"/>
          <w:szCs w:val="21"/>
        </w:rPr>
        <w:t xml:space="preserve">Per l’affidamento del “Servizio di assistenza per l’autonomia e la comunicazione personale e </w:t>
      </w:r>
    </w:p>
    <w:p w:rsidR="00177D2E" w:rsidRPr="00177D2E" w:rsidRDefault="00177D2E" w:rsidP="00177D2E">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177D2E">
        <w:rPr>
          <w:b/>
          <w:bCs/>
          <w:i/>
          <w:sz w:val="21"/>
          <w:szCs w:val="21"/>
        </w:rPr>
        <w:t xml:space="preserve">del servizio di supporto organizzativo – Trasporto Scolastico – per l’inclusione scolastica degli </w:t>
      </w:r>
    </w:p>
    <w:p w:rsidR="00177D2E" w:rsidRPr="00177D2E" w:rsidRDefault="00177D2E" w:rsidP="00177D2E">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177D2E">
        <w:rPr>
          <w:b/>
          <w:bCs/>
          <w:i/>
          <w:sz w:val="21"/>
          <w:szCs w:val="21"/>
        </w:rPr>
        <w:t xml:space="preserve">alunni con disabilità frequentanti gli istituti scolastici superiori di secondo grado della </w:t>
      </w:r>
    </w:p>
    <w:p w:rsidR="00177D2E" w:rsidRDefault="00177D2E" w:rsidP="00177D2E">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sidRPr="00177D2E">
        <w:rPr>
          <w:b/>
          <w:bCs/>
          <w:i/>
          <w:sz w:val="21"/>
          <w:szCs w:val="21"/>
        </w:rPr>
        <w:t>Provincia di Cosenza – A.S. 2023/2024</w:t>
      </w:r>
    </w:p>
    <w:p w:rsidR="00EA61FD" w:rsidRDefault="00EA61FD" w:rsidP="00EA61FD">
      <w:pPr>
        <w:pBdr>
          <w:top w:val="single" w:sz="4" w:space="1" w:color="000000"/>
          <w:left w:val="single" w:sz="4" w:space="4" w:color="000000"/>
          <w:bottom w:val="single" w:sz="4" w:space="0" w:color="000000"/>
          <w:right w:val="single" w:sz="4" w:space="4" w:color="000000"/>
        </w:pBdr>
        <w:spacing w:line="276" w:lineRule="auto"/>
        <w:jc w:val="center"/>
      </w:pPr>
      <w:r>
        <w:rPr>
          <w:b/>
          <w:sz w:val="21"/>
          <w:szCs w:val="21"/>
        </w:rPr>
        <w:t>CIG:</w:t>
      </w:r>
      <w:r>
        <w:rPr>
          <w:rFonts w:ascii="TimesNewRomanPSMT" w:eastAsia="NSimSun" w:hAnsi="TimesNewRomanPSMT" w:cs="TimesNewRomanPSMT"/>
          <w:lang w:eastAsia="it-IT"/>
        </w:rPr>
        <w:t xml:space="preserve"> </w:t>
      </w:r>
      <w:proofErr w:type="spellStart"/>
      <w:r w:rsidR="00177D2E">
        <w:rPr>
          <w:rFonts w:eastAsia="NSimSun"/>
          <w:b/>
          <w:bCs/>
          <w:color w:val="000000"/>
          <w:sz w:val="23"/>
          <w:szCs w:val="23"/>
          <w:lang w:eastAsia="it-IT"/>
        </w:rPr>
        <w:t>…………</w:t>
      </w:r>
      <w:proofErr w:type="spellEnd"/>
      <w:r w:rsidR="00177D2E">
        <w:rPr>
          <w:rFonts w:eastAsia="NSimSun"/>
          <w:b/>
          <w:bCs/>
          <w:color w:val="000000"/>
          <w:sz w:val="23"/>
          <w:szCs w:val="23"/>
          <w:lang w:eastAsia="it-IT"/>
        </w:rPr>
        <w:t>..</w:t>
      </w:r>
      <w:r>
        <w:rPr>
          <w:b/>
          <w:color w:val="000000"/>
          <w:spacing w:val="1"/>
          <w:sz w:val="21"/>
          <w:szCs w:val="21"/>
          <w:lang w:eastAsia="en-US"/>
        </w:rPr>
        <w:t xml:space="preserve"> </w:t>
      </w:r>
      <w:r>
        <w:rPr>
          <w:b/>
          <w:sz w:val="21"/>
          <w:szCs w:val="21"/>
        </w:rPr>
        <w:t>– Cod. gara:23SUA0</w:t>
      </w:r>
      <w:r w:rsidR="00177D2E">
        <w:rPr>
          <w:b/>
          <w:sz w:val="21"/>
          <w:szCs w:val="21"/>
        </w:rPr>
        <w:t>XX</w:t>
      </w:r>
    </w:p>
    <w:p w:rsidR="004044CA" w:rsidRDefault="004044CA" w:rsidP="00EA61FD">
      <w:pPr>
        <w:pBdr>
          <w:top w:val="single" w:sz="4" w:space="1" w:color="000000"/>
          <w:left w:val="single" w:sz="4" w:space="4" w:color="000000"/>
          <w:bottom w:val="single" w:sz="4" w:space="0" w:color="000000"/>
          <w:right w:val="single" w:sz="4" w:space="4" w:color="000000"/>
        </w:pBdr>
        <w:spacing w:line="276" w:lineRule="auto"/>
        <w:jc w:val="center"/>
        <w:rPr>
          <w:color w:val="000000"/>
        </w:rPr>
      </w:pPr>
    </w:p>
    <w:p w:rsidR="004044CA" w:rsidRDefault="007C364C">
      <w:pPr>
        <w:spacing w:line="360" w:lineRule="auto"/>
        <w:jc w:val="center"/>
        <w:rPr>
          <w:rFonts w:ascii="Garamond" w:eastAsia="Calibri" w:hAnsi="Garamond" w:cs="Garamond"/>
          <w:b/>
        </w:rPr>
      </w:pPr>
      <w:r>
        <w:rPr>
          <w:rFonts w:ascii="Garamond" w:eastAsia="Calibri" w:hAnsi="Garamond" w:cs="Garamond"/>
          <w:b/>
        </w:rPr>
        <w:t xml:space="preserve">PATTO </w:t>
      </w:r>
      <w:proofErr w:type="spellStart"/>
      <w:r>
        <w:rPr>
          <w:rFonts w:ascii="Garamond" w:eastAsia="Calibri" w:hAnsi="Garamond" w:cs="Garamond"/>
          <w:b/>
        </w:rPr>
        <w:t>DI</w:t>
      </w:r>
      <w:proofErr w:type="spellEnd"/>
      <w:r>
        <w:rPr>
          <w:rFonts w:ascii="Garamond" w:eastAsia="Calibri" w:hAnsi="Garamond" w:cs="Garamond"/>
          <w:b/>
        </w:rPr>
        <w:t xml:space="preserve">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 xml:space="preserve">l’Operatore Economico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sede legale in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w:t>
      </w:r>
      <w:proofErr w:type="spellStart"/>
      <w:r>
        <w:rPr>
          <w:rFonts w:ascii="Garamond" w:hAnsi="Garamond" w:cs="Garamond"/>
          <w:bCs/>
        </w:rPr>
        <w:t>via………………………………………….……</w:t>
      </w:r>
      <w:proofErr w:type="spellEnd"/>
      <w:r>
        <w:rPr>
          <w:rFonts w:ascii="Garamond" w:hAnsi="Garamond" w:cs="Garamond"/>
          <w:bCs/>
        </w:rPr>
        <w:t xml:space="preserve"> </w:t>
      </w:r>
      <w:proofErr w:type="spellStart"/>
      <w:r>
        <w:rPr>
          <w:rFonts w:ascii="Garamond" w:hAnsi="Garamond" w:cs="Garamond"/>
          <w:bCs/>
        </w:rPr>
        <w:t>n……</w:t>
      </w:r>
      <w:proofErr w:type="spellEnd"/>
      <w:r>
        <w:rPr>
          <w:rFonts w:ascii="Garamond" w:hAnsi="Garamond" w:cs="Garamond"/>
          <w:bCs/>
        </w:rPr>
        <w:t>. codice fiscale/</w:t>
      </w:r>
      <w:proofErr w:type="spellStart"/>
      <w:r>
        <w:rPr>
          <w:rFonts w:ascii="Garamond" w:hAnsi="Garamond" w:cs="Garamond"/>
          <w:bCs/>
        </w:rPr>
        <w:t>P.IVA</w:t>
      </w:r>
      <w:proofErr w:type="spellEnd"/>
      <w:r>
        <w:rPr>
          <w:rFonts w:ascii="Garamond" w:hAnsi="Garamond" w:cs="Garamond"/>
          <w:bCs/>
        </w:rPr>
        <w:t xml:space="preserve"> </w:t>
      </w:r>
      <w:proofErr w:type="spellStart"/>
      <w:r>
        <w:rPr>
          <w:rFonts w:ascii="Garamond" w:hAnsi="Garamond" w:cs="Garamond"/>
          <w:bCs/>
        </w:rPr>
        <w:t>……………………….………</w:t>
      </w:r>
      <w:proofErr w:type="spellEnd"/>
      <w:r>
        <w:rPr>
          <w:rFonts w:ascii="Garamond" w:hAnsi="Garamond" w:cs="Garamond"/>
          <w:bCs/>
        </w:rPr>
        <w:t xml:space="preserve">., rappresentato da </w:t>
      </w:r>
      <w:proofErr w:type="spellStart"/>
      <w:r>
        <w:rPr>
          <w:rFonts w:ascii="Garamond" w:hAnsi="Garamond" w:cs="Garamond"/>
          <w:bCs/>
        </w:rPr>
        <w:t>……………………………</w:t>
      </w:r>
      <w:proofErr w:type="spellEnd"/>
      <w:r>
        <w:rPr>
          <w:rFonts w:ascii="Garamond" w:hAnsi="Garamond" w:cs="Garamond"/>
          <w:bCs/>
        </w:rPr>
        <w:t>..</w:t>
      </w:r>
    </w:p>
    <w:p w:rsidR="004044CA" w:rsidRDefault="007C364C">
      <w:pPr>
        <w:jc w:val="both"/>
      </w:pPr>
      <w:proofErr w:type="spellStart"/>
      <w:r>
        <w:rPr>
          <w:rFonts w:ascii="Garamond" w:hAnsi="Garamond" w:cs="Garamond"/>
          <w:bCs/>
        </w:rPr>
        <w:t>………………………………</w:t>
      </w:r>
      <w:proofErr w:type="spellEnd"/>
      <w:r>
        <w:rPr>
          <w:rFonts w:ascii="Garamond" w:hAnsi="Garamond" w:cs="Garamond"/>
          <w:bCs/>
        </w:rPr>
        <w:t xml:space="preserve">.... in qualità di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Pr>
          <w:rFonts w:ascii="Garamond" w:hAnsi="Garamond" w:cs="Garamond"/>
          <w:bCs/>
        </w:rPr>
        <w:t>lgs</w:t>
      </w:r>
      <w:proofErr w:type="spellEnd"/>
      <w:r>
        <w:rPr>
          <w:rFonts w:ascii="Garamond" w:hAnsi="Garamond" w:cs="Garamond"/>
          <w:bCs/>
        </w:rPr>
        <w:t xml:space="preserve">. n. 50/2016 e </w:t>
      </w:r>
      <w:proofErr w:type="spellStart"/>
      <w:r>
        <w:rPr>
          <w:rFonts w:ascii="Garamond" w:hAnsi="Garamond" w:cs="Garamond"/>
          <w:bCs/>
        </w:rPr>
        <w:t>s.m.i.</w:t>
      </w:r>
      <w:proofErr w:type="spellEnd"/>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w:t>
      </w:r>
      <w:proofErr w:type="spellStart"/>
      <w:r>
        <w:rPr>
          <w:rFonts w:ascii="Garamond" w:hAnsi="Garamond" w:cs="Garamond"/>
          <w:bCs/>
        </w:rPr>
        <w:t>P.N.A.</w:t>
      </w:r>
      <w:proofErr w:type="spellEnd"/>
      <w:r>
        <w:rPr>
          <w:rFonts w:ascii="Garamond" w:hAnsi="Garamond" w:cs="Garamond"/>
          <w:bCs/>
        </w:rPr>
        <w:t>)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4044CA" w:rsidRDefault="007C364C">
      <w:pPr>
        <w:jc w:val="both"/>
      </w:pPr>
      <w:r>
        <w:rPr>
          <w:rFonts w:ascii="Garamond" w:hAnsi="Garamond" w:cs="Garamond"/>
          <w:bCs/>
        </w:rPr>
        <w:t>–</w:t>
      </w:r>
      <w:r>
        <w:rPr>
          <w:rFonts w:ascii="Garamond" w:eastAsia="Garamond" w:hAnsi="Garamond" w:cs="Garamond"/>
          <w:bCs/>
        </w:rPr>
        <w:t xml:space="preserve"> </w:t>
      </w:r>
      <w:r w:rsidR="00B74E6E" w:rsidRPr="00B74E6E">
        <w:rPr>
          <w:rFonts w:ascii="Garamond" w:hAnsi="Garamond" w:cs="Garamond"/>
          <w:bCs/>
        </w:rPr>
        <w:t>il Piano Triennale di Prevenzione della Corruzione e della Trasparenza (</w:t>
      </w:r>
      <w:proofErr w:type="spellStart"/>
      <w:r w:rsidR="00B74E6E" w:rsidRPr="00B74E6E">
        <w:rPr>
          <w:rFonts w:ascii="Garamond" w:hAnsi="Garamond" w:cs="Garamond"/>
          <w:bCs/>
        </w:rPr>
        <w:t>P.T.P.C.T</w:t>
      </w:r>
      <w:proofErr w:type="spellEnd"/>
      <w:r w:rsidR="00B74E6E" w:rsidRPr="00B74E6E">
        <w:rPr>
          <w:rFonts w:ascii="Garamond" w:hAnsi="Garamond" w:cs="Garamond"/>
          <w:bCs/>
        </w:rPr>
        <w:t>) 2022-2024 dell’Amministrazione Provinciale di Cosenza, adottato con Disposizione del Presidente n. 26 del 28/04/2022</w:t>
      </w:r>
      <w:r>
        <w:rPr>
          <w:rFonts w:ascii="Garamond" w:hAnsi="Garamond" w:cs="Garamond"/>
          <w:bCs/>
        </w:rPr>
        <w:t>;</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w:t>
      </w:r>
      <w:proofErr w:type="spellStart"/>
      <w:r>
        <w:rPr>
          <w:rFonts w:ascii="Garamond" w:hAnsi="Garamond" w:cs="Garamond"/>
          <w:bCs/>
        </w:rPr>
        <w:t>A.N.AC.</w:t>
      </w:r>
      <w:proofErr w:type="spellEnd"/>
      <w:r>
        <w:rPr>
          <w:rFonts w:ascii="Garamond" w:hAnsi="Garamond" w:cs="Garamond"/>
          <w:bCs/>
        </w:rPr>
        <w:t>;</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Pr>
          <w:rFonts w:ascii="Garamond" w:hAnsi="Garamond" w:cs="Garamond"/>
          <w:bCs/>
        </w:rPr>
        <w:t>c.p</w:t>
      </w:r>
      <w:proofErr w:type="spellEnd"/>
      <w:r>
        <w:rPr>
          <w:rFonts w:ascii="Garamond" w:hAnsi="Garamond" w:cs="Garamond"/>
          <w:bCs/>
        </w:rPr>
        <w:t>..</w:t>
      </w:r>
    </w:p>
    <w:p w:rsidR="004044CA" w:rsidRDefault="007C364C">
      <w:pPr>
        <w:jc w:val="both"/>
        <w:rPr>
          <w:rFonts w:ascii="Garamond" w:hAnsi="Garamond" w:cs="Garamond"/>
          <w:bCs/>
        </w:rPr>
      </w:pPr>
      <w:r>
        <w:rPr>
          <w:rFonts w:ascii="Garamond" w:hAnsi="Garamond" w:cs="Garamond"/>
          <w:bCs/>
        </w:rPr>
        <w:t xml:space="preserve">Nei casi di cui al presente articolo, l’esercizio della potestà risolutoria da parte della Stazione appaltante è subordinato alla previa intesa con l'Autorità Nazionale Anticorruzione. La Stazione appaltante, </w:t>
      </w:r>
      <w:r>
        <w:rPr>
          <w:rFonts w:ascii="Garamond" w:hAnsi="Garamond" w:cs="Garamond"/>
          <w:bCs/>
        </w:rPr>
        <w:lastRenderedPageBreak/>
        <w:t>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Garamond" w:hAnsi="Garamond" w:cs="Garamond"/>
          <w:bCs/>
        </w:rPr>
        <w:t>pattizia</w:t>
      </w:r>
      <w:proofErr w:type="spellEnd"/>
      <w:r>
        <w:rPr>
          <w:rFonts w:ascii="Garamond" w:hAnsi="Garamond" w:cs="Garamond"/>
          <w:bCs/>
        </w:rPr>
        <w:t>.</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Luogo e data </w:t>
      </w:r>
      <w:proofErr w:type="spellStart"/>
      <w:r>
        <w:rPr>
          <w:rFonts w:ascii="Garamond" w:hAnsi="Garamond" w:cs="Garamond"/>
          <w:bCs/>
        </w:rPr>
        <w:t>…………………</w:t>
      </w:r>
      <w:proofErr w:type="spellEnd"/>
      <w:r>
        <w:rPr>
          <w:rFonts w:ascii="Garamond" w:hAnsi="Garamond" w:cs="Garamond"/>
          <w:bCs/>
        </w:rPr>
        <w:t>.</w:t>
      </w:r>
    </w:p>
    <w:p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imesNewRomanPSMT">
    <w:altName w:val="Arial"/>
    <w:charset w:val="00"/>
    <w:family w:val="swiss"/>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C70E47">
    <w:pPr>
      <w:pStyle w:val="Pidipagina1"/>
      <w:jc w:val="center"/>
    </w:pPr>
    <w:r>
      <w:fldChar w:fldCharType="begin"/>
    </w:r>
    <w:r w:rsidR="007C364C">
      <w:instrText xml:space="preserve"> PAGE </w:instrText>
    </w:r>
    <w:r>
      <w:fldChar w:fldCharType="separate"/>
    </w:r>
    <w:r w:rsidR="00B74E6E">
      <w:rPr>
        <w:noProof/>
      </w:rPr>
      <w:t>1</w:t>
    </w:r>
    <w:r>
      <w:fldChar w:fldCharType="end"/>
    </w:r>
  </w:p>
  <w:p w:rsidR="004044CA" w:rsidRDefault="004044CA">
    <w:pPr>
      <w:pStyle w:val="Pidipagin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pPr>
    <w:r>
      <w:rPr>
        <w:rFonts w:ascii="Garamond" w:eastAsia="Calibri" w:hAnsi="Garamond" w:cs="Garamond"/>
        <w:b/>
        <w:sz w:val="20"/>
        <w:szCs w:val="20"/>
      </w:rPr>
      <w:t>Allegato A.</w:t>
    </w:r>
    <w:r w:rsidR="00177D2E">
      <w:rPr>
        <w:rFonts w:ascii="Garamond" w:eastAsia="Calibri" w:hAnsi="Garamond" w:cs="Garamond"/>
        <w:b/>
        <w:sz w:val="20"/>
        <w:szCs w:val="20"/>
      </w:rPr>
      <w:t>2</w:t>
    </w:r>
    <w:r>
      <w:rPr>
        <w:rFonts w:ascii="Garamond" w:eastAsia="Calibri" w:hAnsi="Garamond" w:cs="Garamond"/>
        <w:sz w:val="20"/>
        <w:szCs w:val="20"/>
      </w:rPr>
      <w:t xml:space="preserve"> - Patto di integrità - Busta  A Documentazione amministrativa_</w:t>
    </w:r>
    <w:r w:rsidR="00EA61FD">
      <w:rPr>
        <w:rFonts w:ascii="Garamond" w:hAnsi="Garamond" w:cs="Garamond"/>
        <w:b/>
        <w:sz w:val="20"/>
        <w:szCs w:val="20"/>
      </w:rPr>
      <w:t xml:space="preserve"> COD. Gara_23SUA</w:t>
    </w:r>
    <w:r w:rsidR="00177D2E">
      <w:rPr>
        <w:rFonts w:ascii="Garamond" w:hAnsi="Garamond" w:cs="Garamond"/>
        <w:b/>
        <w:sz w:val="20"/>
        <w:szCs w:val="20"/>
      </w:rPr>
      <w:t>XX</w:t>
    </w:r>
  </w:p>
  <w:p w:rsidR="004044CA" w:rsidRDefault="004044CA">
    <w:pPr>
      <w:pStyle w:val="Intestazione1"/>
      <w:rPr>
        <w:rFonts w:ascii="Garamond" w:eastAsia="Calibri" w:hAnsi="Garamond" w:cs="Garamond"/>
        <w:sz w:val="20"/>
        <w:szCs w:val="20"/>
      </w:rPr>
    </w:pPr>
  </w:p>
  <w:p w:rsidR="004044CA" w:rsidRDefault="004044CA">
    <w:pPr>
      <w:pStyle w:val="Intestazione1"/>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77D2E"/>
    <w:rsid w:val="001E46C2"/>
    <w:rsid w:val="004044CA"/>
    <w:rsid w:val="007C364C"/>
    <w:rsid w:val="00B74E6E"/>
    <w:rsid w:val="00C70E47"/>
    <w:rsid w:val="00EA61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rsid w:val="007C364C"/>
    <w:rPr>
      <w:rFonts w:ascii="Times New Roman" w:eastAsia="Times New Roman" w:hAnsi="Times New Roman" w:cs="Times New Roman"/>
      <w:lang w:bidi="ar-SA"/>
    </w:rPr>
  </w:style>
  <w:style w:type="paragraph" w:styleId="Pidipagina">
    <w:name w:val="footer"/>
    <w:basedOn w:val="Normale"/>
    <w:link w:val="PidipaginaCarattere1"/>
    <w:uiPriority w:val="99"/>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1258</Words>
  <Characters>7177</Characters>
  <Application>Microsoft Office Word</Application>
  <DocSecurity>0</DocSecurity>
  <Lines>59</Lines>
  <Paragraphs>16</Paragraphs>
  <ScaleCrop>false</ScaleCrop>
  <Company/>
  <LinksUpToDate>false</LinksUpToDate>
  <CharactersWithSpaces>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Ferriolo</cp:lastModifiedBy>
  <cp:revision>14</cp:revision>
  <cp:lastPrinted>2017-07-28T11:10:00Z</cp:lastPrinted>
  <dcterms:created xsi:type="dcterms:W3CDTF">2020-04-22T15:26:00Z</dcterms:created>
  <dcterms:modified xsi:type="dcterms:W3CDTF">2023-08-22T09:19:00Z</dcterms:modified>
  <dc:language>it-IT</dc:language>
</cp:coreProperties>
</file>