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1257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[23SUA059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</w:t>
      </w:r>
      <w:proofErr w:type="spellEnd"/>
      <w:r>
        <w:t>..</w:t>
      </w: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  <w:bookmarkStart w:id="1" w:name="_GoBack"/>
      <w:bookmarkEnd w:id="1"/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23016">
    <w:pPr>
      <w:pStyle w:val="Footer"/>
      <w:ind w:right="360"/>
    </w:pPr>
    <w:r>
      <w:pict>
        <v:shape id="Cornice1" o:spid="_x0000_s1029" style="position:absolute;margin-left:-233.4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23016">
    <w:pPr>
      <w:pStyle w:val="Footer"/>
      <w:ind w:right="360"/>
    </w:pPr>
    <w:r>
      <w:pict>
        <v:shape id="Cornice2" o:spid="_x0000_s1027" style="position:absolute;margin-left:271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23016">
    <w:pPr>
      <w:pStyle w:val="Footer"/>
      <w:ind w:right="360"/>
    </w:pPr>
    <w:r>
      <w:pict>
        <v:shape id="_x0000_s1025" style="position:absolute;margin-left:271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B6D76"/>
    <w:rsid w:val="0012572C"/>
    <w:rsid w:val="001C1A70"/>
    <w:rsid w:val="00234BA0"/>
    <w:rsid w:val="0038160F"/>
    <w:rsid w:val="00523B51"/>
    <w:rsid w:val="006C1D91"/>
    <w:rsid w:val="00861A22"/>
    <w:rsid w:val="00923016"/>
    <w:rsid w:val="0099500D"/>
    <w:rsid w:val="00AC1B3E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E783-A984-4453-B0E7-F7C485D7F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433</Words>
  <Characters>2473</Characters>
  <Application>Microsoft Office Word</Application>
  <DocSecurity>0</DocSecurity>
  <Lines>20</Lines>
  <Paragraphs>5</Paragraphs>
  <ScaleCrop>false</ScaleCrop>
  <Company>Unina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Barberio</cp:lastModifiedBy>
  <cp:revision>81</cp:revision>
  <cp:lastPrinted>2015-02-05T11:43:00Z</cp:lastPrinted>
  <dcterms:created xsi:type="dcterms:W3CDTF">2017-12-26T18:48:00Z</dcterms:created>
  <dcterms:modified xsi:type="dcterms:W3CDTF">2023-08-21T08:15:00Z</dcterms:modified>
  <dc:language>it-IT</dc:language>
</cp:coreProperties>
</file>