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CE" w:rsidRDefault="009154CE"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4.25pt" o:ole="" fillcolor="window">
            <v:imagedata r:id="rId5" o:title="" croptop="-2168f" cropbottom="-2168f" cropleft="-2890f" cropright="-2890f"/>
          </v:shape>
          <o:OLEObject Type="Embed" ProgID="Paint.Picture" ShapeID="_x0000_i1025" DrawAspect="Content" ObjectID="_1625903589" r:id="rId6"/>
        </w:object>
      </w:r>
    </w:p>
    <w:p w:rsidR="009154CE" w:rsidRPr="00410FAA" w:rsidRDefault="009154CE" w:rsidP="00690858">
      <w:pPr>
        <w:jc w:val="center"/>
        <w:rPr>
          <w:b/>
          <w:bCs/>
          <w:sz w:val="48"/>
          <w:szCs w:val="48"/>
        </w:rPr>
      </w:pPr>
      <w:r w:rsidRPr="00601203">
        <w:rPr>
          <w:b/>
          <w:bCs/>
          <w:sz w:val="48"/>
          <w:szCs w:val="48"/>
        </w:rPr>
        <w:t xml:space="preserve">  </w:t>
      </w:r>
      <w:r w:rsidRPr="00410FAA">
        <w:rPr>
          <w:b/>
          <w:bCs/>
          <w:sz w:val="48"/>
          <w:szCs w:val="48"/>
        </w:rPr>
        <w:t>PROVINCIA  DI  COSENZA</w:t>
      </w:r>
    </w:p>
    <w:p w:rsidR="009154CE" w:rsidRPr="00410FAA" w:rsidRDefault="009154CE"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9154CE" w:rsidRPr="00690858" w:rsidRDefault="009154CE" w:rsidP="0050605C">
      <w:pPr>
        <w:spacing w:line="240" w:lineRule="auto"/>
        <w:jc w:val="center"/>
        <w:rPr>
          <w:b/>
          <w:bCs/>
          <w:sz w:val="36"/>
          <w:szCs w:val="36"/>
        </w:rPr>
      </w:pPr>
      <w:r w:rsidRPr="00690858">
        <w:rPr>
          <w:b/>
          <w:bCs/>
          <w:sz w:val="36"/>
          <w:szCs w:val="36"/>
        </w:rPr>
        <w:t xml:space="preserve">SETTORE EDILIZIA </w:t>
      </w:r>
    </w:p>
    <w:p w:rsidR="009154CE" w:rsidRPr="00410FAA" w:rsidRDefault="009154CE"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9154CE" w:rsidRPr="00410FAA" w:rsidRDefault="009154CE" w:rsidP="00690858">
      <w:pPr>
        <w:pStyle w:val="Title"/>
        <w:tabs>
          <w:tab w:val="left" w:pos="8221"/>
        </w:tabs>
        <w:ind w:right="-59"/>
        <w:rPr>
          <w:rFonts w:ascii="Arial" w:hAnsi="Arial" w:cs="Arial"/>
          <w:sz w:val="20"/>
          <w:szCs w:val="20"/>
        </w:rPr>
      </w:pPr>
    </w:p>
    <w:p w:rsidR="009154CE" w:rsidRPr="00B62E72" w:rsidRDefault="009154CE"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015ED19</w:t>
      </w:r>
    </w:p>
    <w:p w:rsidR="009154CE" w:rsidRDefault="009154CE" w:rsidP="004158D8">
      <w:pPr>
        <w:jc w:val="center"/>
        <w:rPr>
          <w:rFonts w:ascii="Candara" w:hAnsi="Candara" w:cs="Candara"/>
        </w:rPr>
      </w:pPr>
      <w:r w:rsidRPr="007E4DB0">
        <w:rPr>
          <w:b/>
          <w:bCs/>
          <w:sz w:val="32"/>
          <w:szCs w:val="32"/>
        </w:rPr>
        <w:t>CUP</w:t>
      </w:r>
      <w:r w:rsidRPr="00B62E72">
        <w:rPr>
          <w:b/>
          <w:bCs/>
          <w:color w:val="0000FF"/>
          <w:sz w:val="32"/>
          <w:szCs w:val="32"/>
        </w:rPr>
        <w:t xml:space="preserve"> </w:t>
      </w:r>
      <w:r w:rsidRPr="009A413C">
        <w:rPr>
          <w:b/>
          <w:bCs/>
          <w:color w:val="0000FF"/>
          <w:sz w:val="32"/>
          <w:szCs w:val="32"/>
        </w:rPr>
        <w:t>F83H17000030006</w:t>
      </w:r>
    </w:p>
    <w:p w:rsidR="009154CE" w:rsidRPr="004158D8" w:rsidRDefault="009154CE" w:rsidP="004158D8">
      <w:pPr>
        <w:jc w:val="center"/>
        <w:rPr>
          <w:b/>
          <w:bCs/>
          <w:color w:val="0000FF"/>
          <w:sz w:val="32"/>
          <w:szCs w:val="32"/>
        </w:rPr>
      </w:pPr>
      <w:r w:rsidRPr="004158D8">
        <w:rPr>
          <w:b/>
          <w:bCs/>
          <w:sz w:val="32"/>
          <w:szCs w:val="32"/>
        </w:rPr>
        <w:t xml:space="preserve">CIG </w:t>
      </w:r>
      <w:r w:rsidRPr="009A413C">
        <w:rPr>
          <w:b/>
          <w:bCs/>
          <w:color w:val="0000FF"/>
          <w:sz w:val="32"/>
          <w:szCs w:val="32"/>
        </w:rPr>
        <w:t>7989954E9C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154CE" w:rsidRPr="000112D5">
        <w:trPr>
          <w:trHeight w:val="1356"/>
        </w:trPr>
        <w:tc>
          <w:tcPr>
            <w:tcW w:w="9854" w:type="dxa"/>
            <w:shd w:val="clear" w:color="auto" w:fill="D6E3BC"/>
          </w:tcPr>
          <w:p w:rsidR="009154CE" w:rsidRPr="00011F46" w:rsidRDefault="009154CE" w:rsidP="00FB38E8">
            <w:pPr>
              <w:jc w:val="center"/>
              <w:rPr>
                <w:b/>
                <w:bCs/>
                <w:color w:val="0000FF"/>
                <w:sz w:val="32"/>
                <w:szCs w:val="32"/>
              </w:rPr>
            </w:pPr>
          </w:p>
          <w:p w:rsidR="009154CE" w:rsidRPr="00FB38E8" w:rsidRDefault="009154CE" w:rsidP="00FB38E8">
            <w:pPr>
              <w:ind w:right="-54"/>
              <w:jc w:val="center"/>
              <w:rPr>
                <w:b/>
                <w:bCs/>
                <w:color w:val="0000FF"/>
                <w:sz w:val="32"/>
                <w:szCs w:val="32"/>
              </w:rPr>
            </w:pPr>
            <w:r w:rsidRPr="00FB38E8">
              <w:rPr>
                <w:b/>
                <w:bCs/>
                <w:color w:val="0000FF"/>
                <w:sz w:val="32"/>
                <w:szCs w:val="32"/>
              </w:rPr>
              <w:t>Affidamento dei servizi di integrazione della progettazione definitiva , progettazione esecutiva, coordinamento della sicurezza in fase di progettazione ed esecuzione, direzione lavori,  relativamente ai lavori di demolizione/ricostruzione del L.S. “ E. Fermi” di Cosenza (Italia)</w:t>
            </w:r>
          </w:p>
          <w:p w:rsidR="009154CE" w:rsidRPr="00011F46" w:rsidRDefault="009154CE" w:rsidP="00FB38E8">
            <w:pPr>
              <w:tabs>
                <w:tab w:val="left" w:pos="6071"/>
              </w:tabs>
              <w:spacing w:before="120" w:after="120" w:line="240" w:lineRule="auto"/>
              <w:jc w:val="center"/>
              <w:rPr>
                <w:b/>
                <w:bCs/>
                <w:color w:val="0000FF"/>
                <w:sz w:val="32"/>
                <w:szCs w:val="32"/>
              </w:rPr>
            </w:pPr>
          </w:p>
        </w:tc>
      </w:tr>
      <w:tr w:rsidR="009154CE" w:rsidRPr="000112D5">
        <w:tc>
          <w:tcPr>
            <w:tcW w:w="9854" w:type="dxa"/>
            <w:shd w:val="clear" w:color="auto" w:fill="EAF1DD"/>
          </w:tcPr>
          <w:p w:rsidR="009154CE" w:rsidRPr="000360DE" w:rsidRDefault="009154CE" w:rsidP="00AF4466">
            <w:pPr>
              <w:pStyle w:val="Default"/>
              <w:jc w:val="center"/>
              <w:rPr>
                <w:rFonts w:ascii="Times New Roman" w:hAnsi="Times New Roman" w:cs="Times New Roman"/>
                <w:b/>
                <w:bCs/>
                <w:sz w:val="22"/>
                <w:szCs w:val="22"/>
              </w:rPr>
            </w:pPr>
          </w:p>
          <w:p w:rsidR="009154CE" w:rsidRPr="000360DE" w:rsidRDefault="009154CE"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9154CE" w:rsidRPr="000360DE" w:rsidRDefault="009154CE" w:rsidP="00AF4466">
            <w:pPr>
              <w:spacing w:after="0" w:line="240" w:lineRule="atLeast"/>
              <w:jc w:val="center"/>
              <w:rPr>
                <w:rFonts w:ascii="Times New Roman" w:hAnsi="Times New Roman" w:cs="Times New Roman"/>
                <w:lang w:eastAsia="it-IT"/>
              </w:rPr>
            </w:pPr>
          </w:p>
        </w:tc>
      </w:tr>
    </w:tbl>
    <w:p w:rsidR="009154CE" w:rsidRDefault="009154CE" w:rsidP="00B53FD0">
      <w:pPr>
        <w:autoSpaceDE w:val="0"/>
        <w:autoSpaceDN w:val="0"/>
        <w:adjustRightInd w:val="0"/>
        <w:spacing w:after="0" w:line="240" w:lineRule="auto"/>
        <w:rPr>
          <w:rFonts w:ascii="Times New Roman" w:hAnsi="Times New Roman" w:cs="Times New Roman"/>
          <w:b/>
          <w:bCs/>
        </w:rPr>
      </w:pPr>
    </w:p>
    <w:p w:rsidR="009154CE" w:rsidRPr="000112D5" w:rsidRDefault="009154CE" w:rsidP="00B53FD0">
      <w:pPr>
        <w:autoSpaceDE w:val="0"/>
        <w:autoSpaceDN w:val="0"/>
        <w:adjustRightInd w:val="0"/>
        <w:spacing w:after="0" w:line="240" w:lineRule="auto"/>
        <w:rPr>
          <w:rFonts w:ascii="Times New Roman" w:hAnsi="Times New Roman" w:cs="Times New Roman"/>
          <w:b/>
          <w:bCs/>
        </w:rPr>
      </w:pPr>
    </w:p>
    <w:p w:rsidR="009154CE" w:rsidRPr="000360DE" w:rsidRDefault="009154CE"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9154CE" w:rsidRPr="000360DE" w:rsidRDefault="009154CE"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9154CE" w:rsidRPr="000360DE" w:rsidRDefault="009154CE" w:rsidP="00B53FD0">
      <w:pPr>
        <w:autoSpaceDE w:val="0"/>
        <w:autoSpaceDN w:val="0"/>
        <w:adjustRightInd w:val="0"/>
        <w:spacing w:after="0" w:line="240" w:lineRule="auto"/>
        <w:jc w:val="both"/>
        <w:rPr>
          <w:rFonts w:ascii="Times New Roman" w:hAnsi="Times New Roman" w:cs="Times New Roman"/>
          <w:b/>
          <w:bCs/>
          <w:sz w:val="24"/>
          <w:szCs w:val="24"/>
        </w:rPr>
      </w:pPr>
    </w:p>
    <w:p w:rsidR="009154CE" w:rsidRPr="000360DE" w:rsidRDefault="009154CE"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9154CE" w:rsidRPr="000360DE" w:rsidRDefault="009154CE" w:rsidP="00B53FD0">
      <w:pPr>
        <w:autoSpaceDE w:val="0"/>
        <w:autoSpaceDN w:val="0"/>
        <w:adjustRightInd w:val="0"/>
        <w:spacing w:after="0" w:line="240" w:lineRule="auto"/>
        <w:jc w:val="both"/>
        <w:rPr>
          <w:rFonts w:ascii="Times New Roman" w:hAnsi="Times New Roman" w:cs="Times New Roman"/>
          <w:b/>
          <w:bCs/>
          <w:sz w:val="24"/>
          <w:szCs w:val="24"/>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p>
    <w:p w:rsidR="009154CE" w:rsidRDefault="009154CE"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9154CE" w:rsidRDefault="009154CE" w:rsidP="00B53FD0">
      <w:pPr>
        <w:autoSpaceDE w:val="0"/>
        <w:autoSpaceDN w:val="0"/>
        <w:adjustRightInd w:val="0"/>
        <w:spacing w:after="0" w:line="240" w:lineRule="auto"/>
        <w:jc w:val="both"/>
        <w:rPr>
          <w:rFonts w:ascii="Times New Roman" w:hAnsi="Times New Roman" w:cs="Times New Roman"/>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9154CE" w:rsidRDefault="009154CE"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rPr>
      </w:pP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9154CE" w:rsidRPr="000112D5" w:rsidRDefault="009154CE"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9154CE" w:rsidRPr="000112D5" w:rsidRDefault="009154CE" w:rsidP="00B53FD0">
      <w:pPr>
        <w:jc w:val="both"/>
        <w:rPr>
          <w:rFonts w:ascii="Times New Roman" w:hAnsi="Times New Roman" w:cs="Times New Roman"/>
          <w:b/>
          <w:bCs/>
        </w:rPr>
      </w:pPr>
      <w:r w:rsidRPr="000112D5">
        <w:rPr>
          <w:rFonts w:ascii="Times New Roman" w:hAnsi="Times New Roman" w:cs="Times New Roman"/>
          <w:b/>
          <w:bCs/>
        </w:rPr>
        <w:t>(firma leggibile)</w:t>
      </w:r>
    </w:p>
    <w:sectPr w:rsidR="009154CE"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0A1B68"/>
    <w:rsid w:val="0010760C"/>
    <w:rsid w:val="00152AC3"/>
    <w:rsid w:val="00187133"/>
    <w:rsid w:val="002950A9"/>
    <w:rsid w:val="002A46FF"/>
    <w:rsid w:val="00356181"/>
    <w:rsid w:val="003C5306"/>
    <w:rsid w:val="003E6141"/>
    <w:rsid w:val="00410FAA"/>
    <w:rsid w:val="004158D8"/>
    <w:rsid w:val="00464C58"/>
    <w:rsid w:val="00485462"/>
    <w:rsid w:val="00487845"/>
    <w:rsid w:val="0050605C"/>
    <w:rsid w:val="005347E6"/>
    <w:rsid w:val="00552C6E"/>
    <w:rsid w:val="005632BF"/>
    <w:rsid w:val="005E5AC7"/>
    <w:rsid w:val="005F114B"/>
    <w:rsid w:val="00601203"/>
    <w:rsid w:val="00603CB3"/>
    <w:rsid w:val="00690268"/>
    <w:rsid w:val="00690858"/>
    <w:rsid w:val="006B77C1"/>
    <w:rsid w:val="00744C85"/>
    <w:rsid w:val="0076609C"/>
    <w:rsid w:val="00770B58"/>
    <w:rsid w:val="007A6B16"/>
    <w:rsid w:val="007A72EC"/>
    <w:rsid w:val="007E4DB0"/>
    <w:rsid w:val="007E7BB5"/>
    <w:rsid w:val="007F6D32"/>
    <w:rsid w:val="00810AD9"/>
    <w:rsid w:val="00831D44"/>
    <w:rsid w:val="00832FD9"/>
    <w:rsid w:val="008420EF"/>
    <w:rsid w:val="00851CC1"/>
    <w:rsid w:val="008A15DD"/>
    <w:rsid w:val="008A3D7C"/>
    <w:rsid w:val="008B52F6"/>
    <w:rsid w:val="009154CE"/>
    <w:rsid w:val="009A413C"/>
    <w:rsid w:val="009B2BD2"/>
    <w:rsid w:val="009B5714"/>
    <w:rsid w:val="009D16D6"/>
    <w:rsid w:val="00A335BF"/>
    <w:rsid w:val="00A379D2"/>
    <w:rsid w:val="00A43BB4"/>
    <w:rsid w:val="00A504B7"/>
    <w:rsid w:val="00A614C5"/>
    <w:rsid w:val="00A749B0"/>
    <w:rsid w:val="00A80082"/>
    <w:rsid w:val="00AA27E7"/>
    <w:rsid w:val="00AA7ACE"/>
    <w:rsid w:val="00AF4466"/>
    <w:rsid w:val="00B0676A"/>
    <w:rsid w:val="00B53FD0"/>
    <w:rsid w:val="00B5664D"/>
    <w:rsid w:val="00B62E72"/>
    <w:rsid w:val="00BC0FB8"/>
    <w:rsid w:val="00BF0702"/>
    <w:rsid w:val="00C12080"/>
    <w:rsid w:val="00C165C1"/>
    <w:rsid w:val="00C211DB"/>
    <w:rsid w:val="00C86C64"/>
    <w:rsid w:val="00CD2107"/>
    <w:rsid w:val="00CE27E7"/>
    <w:rsid w:val="00D2722C"/>
    <w:rsid w:val="00D306A2"/>
    <w:rsid w:val="00D66EA9"/>
    <w:rsid w:val="00D724C0"/>
    <w:rsid w:val="00D7621C"/>
    <w:rsid w:val="00D942A1"/>
    <w:rsid w:val="00DB2888"/>
    <w:rsid w:val="00DC49A5"/>
    <w:rsid w:val="00E37667"/>
    <w:rsid w:val="00E659A1"/>
    <w:rsid w:val="00E86C84"/>
    <w:rsid w:val="00ED1A60"/>
    <w:rsid w:val="00EF3FA1"/>
    <w:rsid w:val="00F77B47"/>
    <w:rsid w:val="00FA1CDA"/>
    <w:rsid w:val="00FB037A"/>
    <w:rsid w:val="00FB38E8"/>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1198</Words>
  <Characters>6834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14</cp:revision>
  <dcterms:created xsi:type="dcterms:W3CDTF">2019-06-19T09:15:00Z</dcterms:created>
  <dcterms:modified xsi:type="dcterms:W3CDTF">2019-07-29T09:07:00Z</dcterms:modified>
</cp:coreProperties>
</file>