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93" w:rsidRDefault="00BD6E93">
      <w:pPr>
        <w:pStyle w:val="Default"/>
        <w:rPr>
          <w:rFonts w:ascii="Times New Roman" w:hAnsi="Times New Roman" w:cs="Times New Roman"/>
          <w:lang w:val="fr-FR"/>
        </w:rPr>
      </w:pPr>
    </w:p>
    <w:p w:rsidR="00BD6E93" w:rsidRDefault="002C2DE3">
      <w:pPr>
        <w:ind w:right="-7"/>
        <w:jc w:val="center"/>
        <w:rPr>
          <w:rFonts w:ascii="Times New Roman" w:hAnsi="Times New Roman" w:cs="Times New Roman"/>
          <w:b/>
        </w:rPr>
      </w:pPr>
      <w:r>
        <w:rPr>
          <w:noProof/>
          <w:lang w:eastAsia="it-IT"/>
        </w:rPr>
        <w:drawing>
          <wp:inline distT="0" distB="0" distL="0" distR="0">
            <wp:extent cx="3276600" cy="12096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89" t="-238" r="-89" b="-238"/>
                    <a:stretch>
                      <a:fillRect/>
                    </a:stretch>
                  </pic:blipFill>
                  <pic:spPr bwMode="auto">
                    <a:xfrm>
                      <a:off x="0" y="0"/>
                      <a:ext cx="3276600" cy="1209675"/>
                    </a:xfrm>
                    <a:prstGeom prst="rect">
                      <a:avLst/>
                    </a:prstGeom>
                    <a:solidFill>
                      <a:srgbClr val="FFFFFF"/>
                    </a:solidFill>
                    <a:ln w="9525">
                      <a:noFill/>
                      <a:miter lim="800000"/>
                      <a:headEnd/>
                      <a:tailEnd/>
                    </a:ln>
                  </pic:spPr>
                </pic:pic>
              </a:graphicData>
            </a:graphic>
          </wp:inline>
        </w:drawing>
      </w:r>
    </w:p>
    <w:p w:rsidR="00BD6E93" w:rsidRDefault="00BD6E93">
      <w:pPr>
        <w:spacing w:after="0" w:line="240" w:lineRule="auto"/>
        <w:jc w:val="center"/>
      </w:pPr>
      <w:r>
        <w:rPr>
          <w:rFonts w:ascii="Times New Roman" w:hAnsi="Times New Roman" w:cs="Times New Roman"/>
          <w:b/>
        </w:rPr>
        <w:t>Stazione Unica Appaltante - SUA.CS</w:t>
      </w:r>
    </w:p>
    <w:p w:rsidR="00BD6E93" w:rsidRDefault="00BD6E93">
      <w:pPr>
        <w:spacing w:after="0" w:line="240" w:lineRule="auto"/>
        <w:jc w:val="center"/>
      </w:pPr>
      <w:r>
        <w:rPr>
          <w:rFonts w:ascii="Times New Roman" w:hAnsi="Times New Roman" w:cs="Times New Roman"/>
          <w:b/>
          <w:color w:val="000000"/>
        </w:rPr>
        <w:t xml:space="preserve">Per conto del Settore Bilancio Programmazione e Patrimonio </w:t>
      </w:r>
    </w:p>
    <w:p w:rsidR="00BD6E93" w:rsidRDefault="00BD6E93">
      <w:pPr>
        <w:spacing w:after="0" w:line="240" w:lineRule="auto"/>
        <w:jc w:val="center"/>
      </w:pPr>
      <w:r>
        <w:rPr>
          <w:rFonts w:ascii="Times New Roman" w:hAnsi="Times New Roman" w:cs="Times New Roman"/>
          <w:bCs/>
          <w:color w:val="000000"/>
          <w:sz w:val="21"/>
          <w:szCs w:val="21"/>
        </w:rPr>
        <w:t>Piazza XV Marzo, 1 – 87100 Cosenza</w:t>
      </w:r>
    </w:p>
    <w:p w:rsidR="00BD6E93" w:rsidRDefault="00BD6E93">
      <w:pPr>
        <w:spacing w:after="0" w:line="240" w:lineRule="auto"/>
        <w:jc w:val="center"/>
      </w:pPr>
      <w:r>
        <w:rPr>
          <w:rFonts w:ascii="Times New Roman" w:hAnsi="Times New Roman" w:cs="Times New Roman"/>
          <w:bCs/>
          <w:color w:val="000000"/>
          <w:sz w:val="21"/>
          <w:szCs w:val="21"/>
        </w:rPr>
        <w:t>Tel. 0984/814220 – 393 - 632</w:t>
      </w:r>
    </w:p>
    <w:p w:rsidR="00BD6E93" w:rsidRDefault="00BD6E93">
      <w:pPr>
        <w:spacing w:after="0" w:line="240" w:lineRule="auto"/>
        <w:jc w:val="center"/>
      </w:pPr>
      <w:r>
        <w:rPr>
          <w:rFonts w:ascii="Times New Roman" w:hAnsi="Times New Roman" w:cs="Times New Roman"/>
          <w:bCs/>
          <w:color w:val="000000"/>
          <w:sz w:val="21"/>
          <w:szCs w:val="21"/>
        </w:rPr>
        <w:t xml:space="preserve">Sito internet: </w:t>
      </w:r>
      <w:r>
        <w:rPr>
          <w:rFonts w:ascii="Times New Roman" w:hAnsi="Times New Roman" w:cs="Times New Roman"/>
          <w:bCs/>
          <w:color w:val="0000FF"/>
          <w:sz w:val="21"/>
          <w:szCs w:val="21"/>
        </w:rPr>
        <w:t>www.provincia.cs.it</w:t>
      </w:r>
    </w:p>
    <w:p w:rsidR="00BD6E93" w:rsidRDefault="00BD6E93">
      <w:pPr>
        <w:spacing w:after="0" w:line="240" w:lineRule="auto"/>
        <w:jc w:val="center"/>
        <w:rPr>
          <w:rFonts w:ascii="Times New Roman" w:hAnsi="Times New Roman" w:cs="Times New Roman"/>
          <w:bCs/>
          <w:color w:val="0000FF"/>
          <w:sz w:val="21"/>
          <w:szCs w:val="21"/>
        </w:rPr>
      </w:pPr>
      <w:r>
        <w:rPr>
          <w:rFonts w:ascii="Times New Roman" w:hAnsi="Times New Roman" w:cs="Times New Roman"/>
          <w:bCs/>
          <w:color w:val="000000"/>
          <w:sz w:val="21"/>
          <w:szCs w:val="21"/>
        </w:rPr>
        <w:t xml:space="preserve">Pec: </w:t>
      </w:r>
      <w:hyperlink r:id="rId5" w:history="1">
        <w:r>
          <w:rPr>
            <w:rStyle w:val="Collegamentoipertestuale"/>
            <w:rFonts w:ascii="Times New Roman" w:hAnsi="Times New Roman" w:cs="Times New Roman"/>
            <w:bCs/>
            <w:sz w:val="21"/>
            <w:szCs w:val="21"/>
          </w:rPr>
          <w:t>sua@pec.provincia.cs.it</w:t>
        </w:r>
      </w:hyperlink>
    </w:p>
    <w:p w:rsidR="00BD6E93" w:rsidRDefault="00BD6E93">
      <w:pPr>
        <w:rPr>
          <w:rFonts w:ascii="Times New Roman" w:hAnsi="Times New Roman" w:cs="Times New Roman"/>
          <w:bCs/>
          <w:color w:val="0000FF"/>
          <w:sz w:val="21"/>
          <w:szCs w:val="21"/>
        </w:rPr>
      </w:pPr>
    </w:p>
    <w:p w:rsidR="00BD6E93" w:rsidRDefault="00BD6E93">
      <w:pPr>
        <w:rPr>
          <w:rFonts w:ascii="Times New Roman" w:hAnsi="Times New Roman" w:cs="Times New Roman"/>
          <w:bCs/>
          <w:color w:val="0000FF"/>
          <w:sz w:val="21"/>
          <w:szCs w:val="21"/>
        </w:rPr>
      </w:pPr>
    </w:p>
    <w:tbl>
      <w:tblPr>
        <w:tblW w:w="0" w:type="auto"/>
        <w:tblInd w:w="-25" w:type="dxa"/>
        <w:tblLayout w:type="fixed"/>
        <w:tblLook w:val="0000"/>
      </w:tblPr>
      <w:tblGrid>
        <w:gridCol w:w="9828"/>
      </w:tblGrid>
      <w:tr w:rsidR="00BD6E93">
        <w:tc>
          <w:tcPr>
            <w:tcW w:w="9828" w:type="dxa"/>
            <w:tcBorders>
              <w:top w:val="single" w:sz="4" w:space="0" w:color="000000"/>
              <w:left w:val="single" w:sz="4" w:space="0" w:color="000000"/>
              <w:bottom w:val="single" w:sz="4" w:space="0" w:color="000000"/>
              <w:right w:val="single" w:sz="4" w:space="0" w:color="000000"/>
            </w:tcBorders>
            <w:shd w:val="clear" w:color="auto" w:fill="auto"/>
          </w:tcPr>
          <w:p w:rsidR="00BD6E93" w:rsidRDefault="00BD6E93">
            <w:pPr>
              <w:jc w:val="center"/>
            </w:pPr>
            <w:r>
              <w:rPr>
                <w:rFonts w:ascii="Times New Roman" w:hAnsi="Times New Roman" w:cs="Times New Roman"/>
                <w:b/>
                <w:color w:val="FF0000"/>
                <w:sz w:val="21"/>
                <w:szCs w:val="21"/>
              </w:rPr>
              <w:t>- PROCEDURA APERTA -</w:t>
            </w:r>
          </w:p>
          <w:p w:rsidR="00BD6E93" w:rsidRDefault="00BD6E93">
            <w:pPr>
              <w:jc w:val="center"/>
            </w:pPr>
            <w:r>
              <w:rPr>
                <w:rFonts w:ascii="Times New Roman" w:hAnsi="Times New Roman" w:cs="Times New Roman"/>
                <w:b/>
                <w:sz w:val="21"/>
                <w:szCs w:val="21"/>
              </w:rPr>
              <w:t>–</w:t>
            </w:r>
            <w:r>
              <w:rPr>
                <w:rFonts w:ascii="Times New Roman" w:eastAsia="Times New Roman" w:hAnsi="Times New Roman" w:cs="Times New Roman"/>
                <w:b/>
                <w:sz w:val="21"/>
                <w:szCs w:val="21"/>
              </w:rPr>
              <w:t xml:space="preserve"> </w:t>
            </w:r>
            <w:r>
              <w:rPr>
                <w:rFonts w:ascii="Times New Roman" w:hAnsi="Times New Roman" w:cs="Times New Roman"/>
                <w:b/>
                <w:sz w:val="21"/>
                <w:szCs w:val="21"/>
              </w:rPr>
              <w:t>art. 60, comma 1,  del D. Lgs. n. 50/2016 e ss. mm. ed ii.  -</w:t>
            </w:r>
          </w:p>
          <w:p w:rsidR="00BD6E93" w:rsidRDefault="00FF4DB5">
            <w:pPr>
              <w:jc w:val="center"/>
            </w:pPr>
            <w:r>
              <w:rPr>
                <w:rFonts w:ascii="Times New Roman" w:hAnsi="Times New Roman" w:cs="Times New Roman"/>
                <w:b/>
                <w:bCs/>
                <w:i/>
                <w:iCs/>
                <w:sz w:val="24"/>
                <w:szCs w:val="24"/>
              </w:rPr>
              <w:t xml:space="preserve"> </w:t>
            </w:r>
            <w:r w:rsidR="00BD6E93">
              <w:rPr>
                <w:rFonts w:ascii="Times New Roman" w:hAnsi="Times New Roman" w:cs="Times New Roman"/>
                <w:b/>
                <w:bCs/>
                <w:i/>
                <w:iCs/>
                <w:sz w:val="24"/>
                <w:szCs w:val="24"/>
              </w:rPr>
              <w:t>“</w:t>
            </w:r>
            <w:r w:rsidR="00BD6E93">
              <w:rPr>
                <w:rFonts w:ascii="Times New Roman" w:hAnsi="Times New Roman" w:cs="Times New Roman"/>
                <w:b/>
                <w:bCs/>
                <w:i/>
                <w:iCs/>
                <w:color w:val="FF0000"/>
                <w:sz w:val="24"/>
                <w:szCs w:val="24"/>
              </w:rPr>
              <w:t>Fornitura di n. 2 Autocarri  nuovi di fabbrica per il recupero e/o trasporto dei veicoli di proprietà dell’Ente</w:t>
            </w:r>
            <w:r w:rsidR="00BD6E93">
              <w:rPr>
                <w:rFonts w:ascii="Times New Roman" w:hAnsi="Times New Roman" w:cs="Times New Roman"/>
                <w:b/>
                <w:i/>
                <w:sz w:val="21"/>
                <w:szCs w:val="21"/>
              </w:rPr>
              <w:t>”</w:t>
            </w:r>
          </w:p>
          <w:p w:rsidR="00BD6E93" w:rsidRDefault="00BD6E93">
            <w:pPr>
              <w:pStyle w:val="Default"/>
              <w:jc w:val="center"/>
            </w:pPr>
            <w:r>
              <w:rPr>
                <w:rFonts w:ascii="Times New Roman" w:hAnsi="Times New Roman" w:cs="Times New Roman"/>
                <w:b/>
                <w:sz w:val="21"/>
                <w:szCs w:val="21"/>
              </w:rPr>
              <w:t xml:space="preserve">CIG: 89126252D2 </w:t>
            </w:r>
            <w:r w:rsidR="00FF4DB5">
              <w:rPr>
                <w:rFonts w:ascii="Times New Roman" w:hAnsi="Times New Roman" w:cs="Times New Roman"/>
                <w:b/>
                <w:sz w:val="21"/>
                <w:szCs w:val="21"/>
              </w:rPr>
              <w:t xml:space="preserve">- </w:t>
            </w:r>
            <w:r>
              <w:rPr>
                <w:rFonts w:ascii="Times New Roman" w:hAnsi="Times New Roman" w:cs="Times New Roman"/>
                <w:b/>
                <w:sz w:val="21"/>
                <w:szCs w:val="21"/>
              </w:rPr>
              <w:t xml:space="preserve">Cod. gara: </w:t>
            </w:r>
            <w:r w:rsidR="00FF4DB5">
              <w:rPr>
                <w:rFonts w:ascii="Times New Roman" w:hAnsi="Times New Roman" w:cs="Times New Roman"/>
                <w:b/>
                <w:sz w:val="21"/>
                <w:szCs w:val="21"/>
              </w:rPr>
              <w:t>21SUA023</w:t>
            </w:r>
          </w:p>
        </w:tc>
      </w:tr>
    </w:tbl>
    <w:p w:rsidR="00BD6E93" w:rsidRDefault="00BD6E93">
      <w:pPr>
        <w:pStyle w:val="Default"/>
        <w:rPr>
          <w:rFonts w:ascii="Times New Roman" w:hAnsi="Times New Roman" w:cs="Times New Roman"/>
          <w:sz w:val="21"/>
          <w:szCs w:val="21"/>
        </w:rPr>
      </w:pPr>
    </w:p>
    <w:p w:rsidR="00BD6E93" w:rsidRPr="00FF4DB5" w:rsidRDefault="00BD6E93">
      <w:pPr>
        <w:spacing w:after="0" w:line="240" w:lineRule="auto"/>
        <w:jc w:val="center"/>
        <w:rPr>
          <w:u w:val="single"/>
        </w:rPr>
      </w:pPr>
      <w:r w:rsidRPr="00FF4DB5">
        <w:rPr>
          <w:rFonts w:ascii="Times New Roman" w:hAnsi="Times New Roman" w:cs="Times New Roman"/>
          <w:b/>
          <w:bCs/>
          <w:color w:val="FF0000"/>
          <w:sz w:val="24"/>
          <w:szCs w:val="24"/>
          <w:u w:val="single"/>
        </w:rPr>
        <w:t>PATTO DI INTEGRITA’</w:t>
      </w:r>
    </w:p>
    <w:p w:rsidR="00BD6E93" w:rsidRDefault="00BD6E93">
      <w:pPr>
        <w:spacing w:after="0" w:line="240" w:lineRule="auto"/>
        <w:rPr>
          <w:rFonts w:ascii="Times New Roman" w:hAnsi="Times New Roman" w:cs="Times New Roman"/>
          <w:b/>
          <w:bCs/>
          <w:color w:val="FF0000"/>
          <w:sz w:val="24"/>
          <w:szCs w:val="24"/>
        </w:rPr>
      </w:pPr>
    </w:p>
    <w:p w:rsidR="00BD6E93" w:rsidRDefault="00BD6E93">
      <w:pPr>
        <w:spacing w:after="0" w:line="240" w:lineRule="auto"/>
        <w:rPr>
          <w:rFonts w:ascii="Times New Roman" w:hAnsi="Times New Roman" w:cs="Times New Roman"/>
          <w:b/>
          <w:bCs/>
        </w:rPr>
      </w:pPr>
    </w:p>
    <w:p w:rsidR="00BD6E93" w:rsidRDefault="00BD6E93">
      <w:pPr>
        <w:spacing w:after="0" w:line="240" w:lineRule="auto"/>
        <w:jc w:val="center"/>
      </w:pPr>
      <w:r>
        <w:rPr>
          <w:rFonts w:ascii="Times New Roman" w:hAnsi="Times New Roman" w:cs="Times New Roman"/>
          <w:b/>
          <w:bCs/>
          <w:sz w:val="24"/>
          <w:szCs w:val="24"/>
        </w:rPr>
        <w:t>TRA</w:t>
      </w:r>
    </w:p>
    <w:p w:rsidR="00BD6E93" w:rsidRDefault="00BD6E93">
      <w:pPr>
        <w:spacing w:after="0" w:line="240" w:lineRule="auto"/>
        <w:jc w:val="both"/>
        <w:rPr>
          <w:rFonts w:ascii="Times New Roman" w:hAnsi="Times New Roman" w:cs="Times New Roman"/>
          <w:b/>
          <w:bCs/>
          <w:sz w:val="24"/>
          <w:szCs w:val="24"/>
        </w:rPr>
      </w:pPr>
    </w:p>
    <w:p w:rsidR="00BD6E93" w:rsidRDefault="00BD6E93">
      <w:pPr>
        <w:spacing w:after="0" w:line="240" w:lineRule="auto"/>
        <w:jc w:val="both"/>
      </w:pPr>
      <w:r>
        <w:rPr>
          <w:rFonts w:ascii="Times New Roman" w:hAnsi="Times New Roman" w:cs="Times New Roman"/>
          <w:b/>
          <w:bCs/>
          <w:sz w:val="24"/>
          <w:szCs w:val="24"/>
        </w:rPr>
        <w:t xml:space="preserve">La Provincia di Cosenza e l’ Operatore Economico </w:t>
      </w:r>
      <w:r>
        <w:rPr>
          <w:rFonts w:ascii="Times New Roman" w:hAnsi="Times New Roman" w:cs="Times New Roman"/>
        </w:rPr>
        <w:t>………………………………………………………………….......................(di seguito denominato Impresa)</w:t>
      </w:r>
    </w:p>
    <w:p w:rsidR="00BD6E93" w:rsidRDefault="00BD6E93">
      <w:pPr>
        <w:spacing w:after="0" w:line="240" w:lineRule="auto"/>
        <w:jc w:val="both"/>
        <w:rPr>
          <w:rFonts w:ascii="Times New Roman" w:hAnsi="Times New Roman" w:cs="Times New Roman"/>
          <w:b/>
          <w:bCs/>
          <w:sz w:val="24"/>
          <w:szCs w:val="24"/>
        </w:rPr>
      </w:pPr>
    </w:p>
    <w:p w:rsidR="00BD6E93" w:rsidRDefault="00BD6E93">
      <w:pPr>
        <w:spacing w:after="0" w:line="240" w:lineRule="auto"/>
        <w:jc w:val="both"/>
      </w:pPr>
      <w:r>
        <w:rPr>
          <w:rFonts w:ascii="Times New Roman" w:hAnsi="Times New Roman" w:cs="Times New Roman"/>
        </w:rPr>
        <w:t>con sede legale in ……………………………………VIA ………………………………………… n…………………………</w:t>
      </w:r>
      <w:bookmarkStart w:id="0" w:name="_GoBack"/>
      <w:bookmarkEnd w:id="0"/>
      <w:r>
        <w:rPr>
          <w:rFonts w:ascii="Times New Roman" w:hAnsi="Times New Roman" w:cs="Times New Roman"/>
        </w:rPr>
        <w:t>codice fiscale/P.IVA………………………………………………,rappresentato da ……………………………..………….………………in qualità di ………..…………………………………..</w:t>
      </w:r>
    </w:p>
    <w:p w:rsidR="00BD6E93" w:rsidRDefault="00BD6E93">
      <w:pPr>
        <w:spacing w:after="0" w:line="240" w:lineRule="auto"/>
        <w:jc w:val="both"/>
      </w:pPr>
      <w:r>
        <w:rPr>
          <w:rFonts w:ascii="Times New Roman" w:hAnsi="Times New Roman" w:cs="Times New Roman"/>
        </w:rPr>
        <w:t>…………………………………………………………………………………………………………………..</w:t>
      </w:r>
    </w:p>
    <w:p w:rsidR="00BD6E93" w:rsidRDefault="00BD6E93">
      <w:pPr>
        <w:spacing w:after="0" w:line="240" w:lineRule="auto"/>
        <w:jc w:val="both"/>
        <w:rPr>
          <w:rFonts w:ascii="Times New Roman" w:hAnsi="Times New Roman" w:cs="Times New Roman"/>
        </w:rPr>
      </w:pPr>
    </w:p>
    <w:p w:rsidR="00BD6E93" w:rsidRDefault="00BD6E93">
      <w:pPr>
        <w:spacing w:after="0" w:line="240" w:lineRule="auto"/>
        <w:jc w:val="both"/>
      </w:pPr>
      <w:r>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VISTO</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la legge 6 novembre 2012 n. 190, art. 1, comma 17 recante “Disposizioni per la prevenzione e la repressione della corruzione e dell'illegalità nella pubblica amministrazione”;</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il decreto legislativo 14 marzo 2013, n. 33 avente per oggetto il “Riordino della disciplina riguardante gli obblighi di pubblicità, trasparenza e diffusione di informazioni da parte delle pubbliche amministrazioni”;</w:t>
      </w:r>
    </w:p>
    <w:p w:rsidR="00BD6E93" w:rsidRDefault="00BD6E93">
      <w:pPr>
        <w:spacing w:after="0" w:line="240" w:lineRule="auto"/>
        <w:jc w:val="both"/>
      </w:pPr>
      <w:r>
        <w:rPr>
          <w:rFonts w:ascii="Times New Roman" w:hAnsi="Times New Roman" w:cs="Times New Roman"/>
        </w:rPr>
        <w:lastRenderedPageBreak/>
        <w:t>–</w:t>
      </w:r>
      <w:r>
        <w:rPr>
          <w:rFonts w:ascii="Times New Roman" w:eastAsia="Times New Roman" w:hAnsi="Times New Roman" w:cs="Times New Roman"/>
        </w:rPr>
        <w:t xml:space="preserve"> </w:t>
      </w:r>
      <w:r>
        <w:rPr>
          <w:rFonts w:ascii="Times New Roman" w:hAnsi="Times New Roman" w:cs="Times New Roman"/>
        </w:rPr>
        <w:t>il decreto del Presidente della Repubblica 16 aprile 2013, n. 62 con il quale è stato emanato il “Regolamento recante il codice di comportamento dei dipendenti pubblici”;</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il “Codice di comportamento dei dipendenti della Provincia di Cosenza”, adottato con Deliberazione della G.P. n. 23 del 29.01.2014;</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il decreto-legge 24 giugno 2014, n. 90 recante “Misure urgenti per la semplificazione e la trasparenza amministrativa e per l'efficienza degli uffici giudiziari” convertito, con modificazioni, dalla legge 11 agosto 2014, n. 114;</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la Delibera n.1074 del 21 novembre 2018 con la quale l’Autorità Nazionale Anticorruzione ha adottato l’Aggiornamento 2018 al Piano Nazionale Anticorruzione;</w:t>
      </w:r>
    </w:p>
    <w:p w:rsidR="00FF4DB5" w:rsidRDefault="00FF4DB5" w:rsidP="00FF4D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il Piano Triennale di Prevenzione della Corruzione e della Trasparenza (P.T.P.C.T) </w:t>
      </w:r>
      <w:r>
        <w:rPr>
          <w:rFonts w:ascii="Times New Roman" w:hAnsi="Times New Roman"/>
          <w:b/>
          <w:sz w:val="24"/>
          <w:szCs w:val="24"/>
        </w:rPr>
        <w:t>2021-2023</w:t>
      </w:r>
      <w:r>
        <w:rPr>
          <w:rFonts w:ascii="Times New Roman" w:hAnsi="Times New Roman"/>
          <w:sz w:val="24"/>
          <w:szCs w:val="24"/>
        </w:rPr>
        <w:t xml:space="preserve"> dell’Amministrazione Provinciale di Cosenza, adottato con Disposizione del Presidente n. 32 del 23/03/2021;</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center"/>
      </w:pPr>
      <w:r>
        <w:rPr>
          <w:rFonts w:ascii="Times New Roman" w:hAnsi="Times New Roman" w:cs="Times New Roman"/>
          <w:b/>
          <w:bCs/>
        </w:rPr>
        <w:t>SI CONVIENE QUANTO SEGUE</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 xml:space="preserve">Art. 1 - </w:t>
      </w:r>
      <w:r>
        <w:rPr>
          <w:rFonts w:ascii="Times New Roman" w:hAnsi="Times New Roman" w:cs="Times New Roman"/>
        </w:rPr>
        <w:t>Il presente Patto d’integrità stabilisce la formale obbligazione della Impresa che, ai fini della partecipazione alla gara in oggetto, si impegna:</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ad assicurare che non si è accordata e non si accorderà con altri partecipanti alla gara per limitare o eludere la concorrenza;</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ad informare puntualmente tutto il personale, di cui si avvale, del presente Patto di integrità e degli obblighi in esso contenuti;</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 vigilare affinché gli impegni sopra indicati siano osservati da tutti i collaboratori e dipendenti nell’esercizio dei compiti loro assegnati;</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 denunciare alla Pubblica Autorità competente ogni irregolarità o distorsione di cui sia venuta a conoscenza per quanto attiene l’attività di cui all’oggetto della gara in causa.</w:t>
      </w:r>
    </w:p>
    <w:p w:rsidR="00BD6E93" w:rsidRDefault="00BD6E93">
      <w:pPr>
        <w:spacing w:after="0" w:line="240" w:lineRule="auto"/>
        <w:jc w:val="both"/>
        <w:rPr>
          <w:rFonts w:ascii="Times New Roman" w:hAnsi="Times New Roman" w:cs="Times New Roman"/>
        </w:rPr>
      </w:pPr>
    </w:p>
    <w:p w:rsidR="00BD6E93" w:rsidRDefault="00BD6E93">
      <w:pPr>
        <w:spacing w:after="0" w:line="240" w:lineRule="auto"/>
        <w:jc w:val="both"/>
      </w:pPr>
      <w:r>
        <w:rPr>
          <w:rFonts w:ascii="Times New Roman" w:hAnsi="Times New Roman" w:cs="Times New Roman"/>
          <w:b/>
          <w:bCs/>
        </w:rPr>
        <w:t xml:space="preserve">Art. 2 - </w:t>
      </w:r>
      <w:r>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esclusione del concorrente dalla gara;</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escussione della cauzione di validità dell’offerta;</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risoluzione del contratto;</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escussione della cauzione di buona esecuzione del contratto;</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esclusione del concorrente dalle gare indette dalla stazione appaltante per 5 anni.</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 xml:space="preserve">Art. 3 – </w:t>
      </w:r>
      <w:r>
        <w:rPr>
          <w:rFonts w:ascii="Times New Roman" w:hAnsi="Times New Roman" w:cs="Times New Roman"/>
        </w:rPr>
        <w:t>Fermo restando quanto previsto dai precedenti articoli 1 e 2, in aderenza alle prescrizioni in materia di anticorruzione contenute nel d.l. 90/2014 convertito dalla l. 114/2014:</w:t>
      </w:r>
    </w:p>
    <w:p w:rsidR="00BD6E93" w:rsidRDefault="00BD6E93">
      <w:pPr>
        <w:spacing w:after="0" w:line="240" w:lineRule="auto"/>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BD6E93" w:rsidRDefault="00BD6E93">
      <w:pPr>
        <w:spacing w:after="0" w:line="240" w:lineRule="auto"/>
        <w:jc w:val="both"/>
      </w:pPr>
      <w:r>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BD6E93" w:rsidRDefault="00BD6E93">
      <w:pPr>
        <w:spacing w:after="0" w:line="240" w:lineRule="auto"/>
        <w:jc w:val="both"/>
      </w:pPr>
      <w:r>
        <w:rPr>
          <w:rFonts w:ascii="Times New Roman" w:hAnsi="Times New Roman" w:cs="Times New Roman"/>
        </w:rPr>
        <w:lastRenderedPageBreak/>
        <w:t>–</w:t>
      </w:r>
      <w:r>
        <w:rPr>
          <w:rFonts w:ascii="Times New Roman" w:eastAsia="Times New Roman" w:hAnsi="Times New Roman" w:cs="Times New Roman"/>
        </w:rPr>
        <w:t xml:space="preserve"> </w:t>
      </w:r>
      <w:r>
        <w:rPr>
          <w:rFonts w:ascii="Times New Roman" w:hAnsi="Times New Roman" w:cs="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BD6E93" w:rsidRDefault="00BD6E93">
      <w:pPr>
        <w:spacing w:after="0" w:line="240" w:lineRule="auto"/>
        <w:jc w:val="both"/>
      </w:pPr>
      <w:r>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BD6E93" w:rsidRDefault="00BD6E93">
      <w:pPr>
        <w:spacing w:after="0" w:line="240" w:lineRule="auto"/>
        <w:jc w:val="both"/>
      </w:pPr>
      <w:r>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 xml:space="preserve">Art. 4 - </w:t>
      </w:r>
      <w:r>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 xml:space="preserve">Art. 5 - </w:t>
      </w:r>
      <w:r>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BD6E93" w:rsidRDefault="00BD6E93">
      <w:pPr>
        <w:spacing w:after="0" w:line="240" w:lineRule="auto"/>
        <w:jc w:val="both"/>
      </w:pPr>
      <w:r>
        <w:rPr>
          <w:rFonts w:ascii="Times New Roman" w:hAnsi="Times New Roman" w:cs="Times New Roman"/>
        </w:rPr>
        <w:t>La mancata consegna di tale Patto debitamente sottoscritto comporterà l'esclusione dalla gara.</w:t>
      </w:r>
    </w:p>
    <w:p w:rsidR="00BD6E93" w:rsidRDefault="00BD6E93">
      <w:pPr>
        <w:spacing w:after="0" w:line="240" w:lineRule="auto"/>
        <w:jc w:val="both"/>
        <w:rPr>
          <w:rFonts w:ascii="Times New Roman" w:hAnsi="Times New Roman" w:cs="Times New Roman"/>
          <w:b/>
          <w:bCs/>
        </w:rPr>
      </w:pPr>
    </w:p>
    <w:p w:rsidR="00BD6E93" w:rsidRDefault="00BD6E93">
      <w:pPr>
        <w:spacing w:after="0" w:line="240" w:lineRule="auto"/>
        <w:jc w:val="both"/>
      </w:pPr>
      <w:r>
        <w:rPr>
          <w:rFonts w:ascii="Times New Roman" w:hAnsi="Times New Roman" w:cs="Times New Roman"/>
          <w:b/>
          <w:bCs/>
        </w:rPr>
        <w:t xml:space="preserve">Art. 6 - </w:t>
      </w:r>
      <w:r>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BD6E93" w:rsidRDefault="00BD6E93">
      <w:pPr>
        <w:spacing w:after="0" w:line="240" w:lineRule="auto"/>
        <w:jc w:val="both"/>
        <w:rPr>
          <w:rFonts w:ascii="Times New Roman" w:hAnsi="Times New Roman" w:cs="Times New Roman"/>
        </w:rPr>
      </w:pPr>
    </w:p>
    <w:p w:rsidR="00BD6E93" w:rsidRDefault="00BD6E93">
      <w:pPr>
        <w:spacing w:after="0" w:line="240" w:lineRule="auto"/>
        <w:jc w:val="both"/>
      </w:pPr>
      <w:r>
        <w:rPr>
          <w:rFonts w:ascii="Times New Roman" w:hAnsi="Times New Roman" w:cs="Times New Roman"/>
        </w:rPr>
        <w:t>Luogo e data ………………….</w:t>
      </w:r>
    </w:p>
    <w:p w:rsidR="00BD6E93" w:rsidRDefault="00BD6E93">
      <w:pPr>
        <w:spacing w:after="0" w:line="240" w:lineRule="auto"/>
        <w:jc w:val="both"/>
        <w:rPr>
          <w:rFonts w:ascii="Times New Roman" w:hAnsi="Times New Roman" w:cs="Times New Roman"/>
        </w:rPr>
      </w:pPr>
    </w:p>
    <w:p w:rsidR="00BD6E93" w:rsidRDefault="00BD6E93">
      <w:pPr>
        <w:spacing w:after="0" w:line="240" w:lineRule="auto"/>
        <w:jc w:val="both"/>
        <w:rPr>
          <w:rFonts w:ascii="Times New Roman" w:hAnsi="Times New Roman" w:cs="Times New Roman"/>
        </w:rPr>
      </w:pPr>
    </w:p>
    <w:p w:rsidR="00BD6E93" w:rsidRDefault="00BD6E93">
      <w:pPr>
        <w:spacing w:after="0" w:line="240" w:lineRule="auto"/>
        <w:jc w:val="both"/>
      </w:pPr>
      <w:r>
        <w:rPr>
          <w:rFonts w:ascii="Times New Roman" w:hAnsi="Times New Roman" w:cs="Times New Roman"/>
          <w:b/>
          <w:bCs/>
        </w:rPr>
        <w:t>Per l’Impresa</w:t>
      </w:r>
    </w:p>
    <w:p w:rsidR="00BD6E93" w:rsidRDefault="00BD6E93">
      <w:pPr>
        <w:spacing w:after="0" w:line="240" w:lineRule="auto"/>
        <w:jc w:val="both"/>
      </w:pPr>
      <w:r>
        <w:rPr>
          <w:rFonts w:ascii="Times New Roman" w:hAnsi="Times New Roman" w:cs="Times New Roman"/>
          <w:b/>
          <w:bCs/>
        </w:rPr>
        <w:t>(il legale rappresentante)</w:t>
      </w:r>
    </w:p>
    <w:p w:rsidR="00BD6E93" w:rsidRDefault="00BD6E93">
      <w:pPr>
        <w:spacing w:after="0" w:line="240" w:lineRule="auto"/>
        <w:jc w:val="both"/>
      </w:pPr>
      <w:r>
        <w:rPr>
          <w:rFonts w:ascii="Times New Roman" w:hAnsi="Times New Roman" w:cs="Times New Roman"/>
          <w:b/>
          <w:bCs/>
        </w:rPr>
        <w:t>___________________________</w:t>
      </w:r>
    </w:p>
    <w:p w:rsidR="00BD6E93" w:rsidRDefault="00BD6E93">
      <w:pPr>
        <w:jc w:val="both"/>
      </w:pPr>
      <w:r>
        <w:rPr>
          <w:rFonts w:ascii="Times New Roman" w:hAnsi="Times New Roman" w:cs="Times New Roman"/>
          <w:b/>
          <w:bCs/>
        </w:rPr>
        <w:t>(firma leggibile)</w:t>
      </w:r>
    </w:p>
    <w:sectPr w:rsidR="00BD6E93">
      <w:pgSz w:w="11906" w:h="16838"/>
      <w:pgMar w:top="1417" w:right="1134" w:bottom="1134" w:left="1134"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2E67E1"/>
    <w:rsid w:val="002C2DE3"/>
    <w:rsid w:val="002E67E1"/>
    <w:rsid w:val="00BD6E93"/>
    <w:rsid w:val="00FF4D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cs="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Garamond"/>
      <w:b/>
      <w:i w:val="0"/>
      <w:sz w:val="21"/>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styleId="Collegamentoipertestuale">
    <w:name w:val="Hyperlink"/>
    <w:basedOn w:val="Carpredefinitoparagrafo1"/>
    <w:rPr>
      <w:color w:val="0000FF"/>
      <w:u w:val="single"/>
    </w:rPr>
  </w:style>
  <w:style w:type="character" w:customStyle="1" w:styleId="TestofumettoCarattere">
    <w:name w:val="Testo fumetto Carattere"/>
    <w:basedOn w:val="Carpredefinitoparagrafo1"/>
    <w:rPr>
      <w:rFonts w:ascii="Tahoma" w:hAnsi="Tahoma" w:cs="Tahoma"/>
      <w:sz w:val="16"/>
      <w:szCs w:val="16"/>
    </w:rPr>
  </w:style>
  <w:style w:type="character" w:customStyle="1" w:styleId="TitoloCarattere">
    <w:name w:val="Titolo Carattere"/>
    <w:basedOn w:val="Carpredefinitoparagrafo1"/>
    <w:rPr>
      <w:rFonts w:ascii="Cambria" w:hAnsi="Cambria" w:cs="Cambria"/>
      <w:b/>
      <w:bCs/>
      <w:kern w:val="2"/>
      <w:sz w:val="32"/>
      <w:szCs w:val="32"/>
    </w:rPr>
  </w:style>
  <w:style w:type="character" w:customStyle="1" w:styleId="Collegamentoipertestuale1">
    <w:name w:val="Collegamento ipertestuale1"/>
    <w:basedOn w:val="Carpredefinitoparagrafo1"/>
    <w:rPr>
      <w:color w:val="0000FF"/>
      <w:u w:val="single"/>
    </w:rPr>
  </w:style>
  <w:style w:type="paragraph" w:customStyle="1" w:styleId="Titolo1">
    <w:name w:val="Titolo1"/>
    <w:basedOn w:val="Normale"/>
    <w:next w:val="Corpodeltesto"/>
    <w:pPr>
      <w:spacing w:after="0" w:line="240" w:lineRule="auto"/>
      <w:jc w:val="center"/>
    </w:pPr>
    <w:rPr>
      <w:b/>
      <w:bCs/>
      <w:sz w:val="28"/>
      <w:szCs w:val="28"/>
    </w:rPr>
  </w:style>
  <w:style w:type="paragraph" w:styleId="Corpodeltesto">
    <w:name w:val="Body Text"/>
    <w:basedOn w:val="Normale"/>
    <w:pPr>
      <w:spacing w:after="140"/>
    </w:pPr>
  </w:style>
  <w:style w:type="paragraph" w:styleId="Elenco">
    <w:name w:val="List"/>
    <w:basedOn w:val="Corpodel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Heading1">
    <w:name w:val="Heading 1"/>
    <w:basedOn w:val="Normale"/>
    <w:pPr>
      <w:ind w:left="232"/>
    </w:pPr>
    <w:rPr>
      <w:rFonts w:ascii="Garamond" w:eastAsia="Garamond" w:hAnsi="Garamond" w:cs="Garamond"/>
      <w:b/>
      <w:bCs/>
      <w:sz w:val="24"/>
      <w:szCs w:val="24"/>
    </w:rPr>
  </w:style>
  <w:style w:type="paragraph" w:customStyle="1" w:styleId="Caption">
    <w:name w:val="Caption"/>
    <w:basedOn w:val="Normale"/>
    <w:pPr>
      <w:suppressLineNumbers/>
      <w:spacing w:before="120" w:after="120"/>
    </w:pPr>
    <w:rPr>
      <w:rFonts w:cs="Arial"/>
      <w:i/>
      <w:iCs/>
      <w:sz w:val="24"/>
      <w:szCs w:val="24"/>
    </w:rPr>
  </w:style>
  <w:style w:type="paragraph" w:customStyle="1" w:styleId="Default">
    <w:name w:val="Default"/>
    <w:pPr>
      <w:widowControl w:val="0"/>
      <w:suppressAutoHyphens/>
    </w:pPr>
    <w:rPr>
      <w:rFonts w:ascii="Times" w:hAnsi="Times" w:cs="Times"/>
      <w:color w:val="000000"/>
      <w:sz w:val="24"/>
      <w:szCs w:val="24"/>
      <w:lang w:eastAsia="zh-CN"/>
    </w:rPr>
  </w:style>
  <w:style w:type="paragraph" w:customStyle="1" w:styleId="CM27">
    <w:name w:val="CM27"/>
    <w:basedOn w:val="Default"/>
    <w:next w:val="Default"/>
    <w:pPr>
      <w:spacing w:line="256" w:lineRule="atLeast"/>
    </w:pPr>
    <w:rPr>
      <w:rFonts w:ascii="Helvetica" w:hAnsi="Helvetica" w:cs="Helvetica"/>
    </w:rPr>
  </w:style>
  <w:style w:type="paragraph" w:styleId="Testofumetto">
    <w:name w:val="Balloon Text"/>
    <w:basedOn w:val="Normale"/>
    <w:pPr>
      <w:spacing w:after="0" w:line="240" w:lineRule="auto"/>
    </w:pPr>
    <w:rPr>
      <w:rFonts w:ascii="Tahoma" w:hAnsi="Tahoma" w:cs="Tahoma"/>
      <w:sz w:val="16"/>
      <w:szCs w:val="16"/>
    </w:rPr>
  </w:style>
  <w:style w:type="paragraph" w:customStyle="1" w:styleId="Heading2">
    <w:name w:val="Heading 2"/>
    <w:basedOn w:val="Normale"/>
    <w:next w:val="Normale"/>
    <w:pPr>
      <w:keepNext/>
      <w:widowControl w:val="0"/>
      <w:spacing w:before="560" w:after="120" w:line="240" w:lineRule="auto"/>
      <w:jc w:val="both"/>
    </w:pPr>
    <w:rPr>
      <w:rFonts w:ascii="Garamond" w:eastAsia="Times New Roman" w:hAnsi="Garamond" w:cs="Times New Roman"/>
      <w:b/>
      <w:bCs/>
      <w:iCs/>
      <w:caps/>
      <w:sz w:val="24"/>
      <w:szCs w:val="28"/>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r="http://schemas.openxmlformats.org/officeDocument/2006/relationships" xmlns:w="http://schemas.openxmlformats.org/wordprocessingml/2006/main">
  <w:divs>
    <w:div w:id="14806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a@pec.provincia.cs.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8143</CharactersWithSpaces>
  <SharedDoc>false</SharedDoc>
  <HLinks>
    <vt:vector size="6" baseType="variant">
      <vt:variant>
        <vt:i4>3014659</vt:i4>
      </vt:variant>
      <vt:variant>
        <vt:i4>0</vt:i4>
      </vt:variant>
      <vt:variant>
        <vt:i4>0</vt:i4>
      </vt:variant>
      <vt:variant>
        <vt:i4>5</vt:i4>
      </vt:variant>
      <vt:variant>
        <vt:lpwstr>mailto:sua@pec.provincia.cs.it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Nicoletta Perrotti</cp:lastModifiedBy>
  <cp:revision>2</cp:revision>
  <cp:lastPrinted>2021-10-07T05:40:00Z</cp:lastPrinted>
  <dcterms:created xsi:type="dcterms:W3CDTF">2021-10-25T07:53:00Z</dcterms:created>
  <dcterms:modified xsi:type="dcterms:W3CDTF">2021-10-25T07:53:00Z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